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994D" w14:textId="17B71418" w:rsidR="00B87AB2" w:rsidRDefault="00B87AB2" w:rsidP="00B87AB2">
      <w:pPr>
        <w:jc w:val="center"/>
        <w:rPr>
          <w:rFonts w:ascii="Lato" w:hAnsi="Lato" w:cs="Tahoma"/>
          <w:b/>
          <w:bCs/>
          <w:sz w:val="22"/>
          <w:szCs w:val="22"/>
          <w:u w:val="single"/>
        </w:rPr>
      </w:pPr>
      <w:r w:rsidRPr="00B87AB2">
        <w:rPr>
          <w:rFonts w:ascii="Lato" w:hAnsi="Lato" w:cs="Tahoma"/>
          <w:b/>
          <w:bCs/>
          <w:sz w:val="22"/>
          <w:szCs w:val="22"/>
          <w:u w:val="single"/>
        </w:rPr>
        <w:t>Cotisations</w:t>
      </w:r>
      <w:r w:rsidR="00FE6F18">
        <w:rPr>
          <w:rFonts w:ascii="Lato" w:hAnsi="Lato" w:cs="Tahoma"/>
          <w:b/>
          <w:bCs/>
          <w:sz w:val="22"/>
          <w:szCs w:val="22"/>
          <w:u w:val="single"/>
        </w:rPr>
        <w:t xml:space="preserve"> pour accès à l’offre socle</w:t>
      </w:r>
    </w:p>
    <w:p w14:paraId="27CEE216" w14:textId="12EAC9F9" w:rsidR="00B87AB2" w:rsidRPr="00B87AB2" w:rsidRDefault="00B87AB2" w:rsidP="00B87AB2">
      <w:pPr>
        <w:jc w:val="center"/>
        <w:rPr>
          <w:rFonts w:ascii="Lato" w:hAnsi="Lato" w:cs="Tahoma"/>
          <w:b/>
          <w:bCs/>
          <w:sz w:val="22"/>
          <w:szCs w:val="22"/>
          <w:u w:val="single"/>
        </w:rPr>
      </w:pPr>
      <w:proofErr w:type="gramStart"/>
      <w:r w:rsidRPr="00B87AB2">
        <w:rPr>
          <w:rFonts w:ascii="Lato" w:hAnsi="Lato" w:cs="Tahoma"/>
          <w:b/>
          <w:bCs/>
          <w:sz w:val="22"/>
          <w:szCs w:val="22"/>
          <w:u w:val="single"/>
        </w:rPr>
        <w:t>et</w:t>
      </w:r>
      <w:proofErr w:type="gramEnd"/>
      <w:r w:rsidRPr="00B87AB2">
        <w:rPr>
          <w:rFonts w:ascii="Lato" w:hAnsi="Lato" w:cs="Tahoma"/>
          <w:b/>
          <w:bCs/>
          <w:sz w:val="22"/>
          <w:szCs w:val="22"/>
          <w:u w:val="single"/>
        </w:rPr>
        <w:t xml:space="preserve"> participations financières pour </w:t>
      </w:r>
      <w:r w:rsidR="00FE6F18">
        <w:rPr>
          <w:rFonts w:ascii="Lato" w:hAnsi="Lato" w:cs="Tahoma"/>
          <w:b/>
          <w:bCs/>
          <w:sz w:val="22"/>
          <w:szCs w:val="22"/>
          <w:u w:val="single"/>
        </w:rPr>
        <w:t>certaines</w:t>
      </w:r>
      <w:r w:rsidRPr="00B87AB2">
        <w:rPr>
          <w:rFonts w:ascii="Lato" w:hAnsi="Lato" w:cs="Tahoma"/>
          <w:b/>
          <w:bCs/>
          <w:sz w:val="22"/>
          <w:szCs w:val="22"/>
          <w:u w:val="single"/>
        </w:rPr>
        <w:t xml:space="preserve"> missions d’ingénierie </w:t>
      </w:r>
    </w:p>
    <w:p w14:paraId="0C350743" w14:textId="77777777" w:rsidR="00B87AB2" w:rsidRDefault="00B87AB2" w:rsidP="00B87AB2">
      <w:pPr>
        <w:jc w:val="center"/>
        <w:rPr>
          <w:rFonts w:ascii="Lato" w:hAnsi="Lato" w:cs="Tahoma"/>
          <w:sz w:val="22"/>
          <w:szCs w:val="22"/>
        </w:rPr>
      </w:pPr>
    </w:p>
    <w:p w14:paraId="1A735FA6" w14:textId="658AABC4" w:rsidR="00B87AB2" w:rsidRPr="00B87AB2" w:rsidRDefault="00B87AB2" w:rsidP="00B87AB2">
      <w:pPr>
        <w:pStyle w:val="Paragraphedeliste"/>
        <w:numPr>
          <w:ilvl w:val="0"/>
          <w:numId w:val="30"/>
        </w:numPr>
        <w:jc w:val="both"/>
        <w:rPr>
          <w:rFonts w:ascii="Lato" w:hAnsi="Lato" w:cs="Tahoma"/>
          <w:b/>
          <w:bCs/>
          <w:sz w:val="22"/>
          <w:szCs w:val="22"/>
        </w:rPr>
      </w:pPr>
      <w:r w:rsidRPr="00B87AB2">
        <w:rPr>
          <w:rFonts w:ascii="Lato" w:hAnsi="Lato" w:cs="Tahoma"/>
          <w:b/>
          <w:bCs/>
          <w:sz w:val="22"/>
          <w:szCs w:val="22"/>
        </w:rPr>
        <w:t xml:space="preserve">Cotisation </w:t>
      </w:r>
      <w:r w:rsidR="00FE6F18">
        <w:rPr>
          <w:rFonts w:ascii="Lato" w:hAnsi="Lato" w:cs="Tahoma"/>
          <w:b/>
          <w:bCs/>
          <w:sz w:val="22"/>
          <w:szCs w:val="22"/>
        </w:rPr>
        <w:t xml:space="preserve">annuelle </w:t>
      </w:r>
      <w:r w:rsidRPr="00B87AB2">
        <w:rPr>
          <w:rFonts w:ascii="Lato" w:hAnsi="Lato" w:cs="Tahoma"/>
          <w:b/>
          <w:bCs/>
          <w:sz w:val="22"/>
          <w:szCs w:val="22"/>
        </w:rPr>
        <w:t>pour les missions comprises dans l’offre socle :</w:t>
      </w:r>
    </w:p>
    <w:p w14:paraId="572920BF" w14:textId="77777777" w:rsidR="00B87AB2" w:rsidRPr="00B87AB2" w:rsidRDefault="00B87AB2" w:rsidP="00B87AB2">
      <w:pPr>
        <w:jc w:val="both"/>
        <w:rPr>
          <w:rFonts w:ascii="Lato" w:hAnsi="Lato" w:cs="Tahoma"/>
          <w:sz w:val="22"/>
          <w:szCs w:val="22"/>
          <w:u w:val="single"/>
        </w:rPr>
      </w:pPr>
    </w:p>
    <w:p w14:paraId="5FDA1720" w14:textId="77777777" w:rsidR="00B87AB2" w:rsidRPr="00B87AB2" w:rsidRDefault="00B87AB2" w:rsidP="00B87AB2">
      <w:pPr>
        <w:pStyle w:val="Paragraphedeliste"/>
        <w:numPr>
          <w:ilvl w:val="0"/>
          <w:numId w:val="32"/>
        </w:numPr>
        <w:jc w:val="both"/>
        <w:rPr>
          <w:rFonts w:ascii="Lato" w:hAnsi="Lato" w:cs="Tahoma"/>
          <w:i/>
          <w:sz w:val="22"/>
          <w:szCs w:val="22"/>
        </w:rPr>
      </w:pPr>
      <w:r w:rsidRPr="00B87AB2">
        <w:rPr>
          <w:rFonts w:ascii="Lato" w:hAnsi="Lato" w:cs="Tahoma"/>
          <w:i/>
          <w:color w:val="000000"/>
          <w:sz w:val="22"/>
          <w:szCs w:val="22"/>
        </w:rPr>
        <w:t xml:space="preserve">Communes :  </w:t>
      </w:r>
      <w:r w:rsidRPr="00B87AB2">
        <w:rPr>
          <w:rFonts w:ascii="Lato" w:hAnsi="Lato" w:cs="Tahoma"/>
          <w:color w:val="000000"/>
          <w:sz w:val="22"/>
          <w:szCs w:val="22"/>
        </w:rPr>
        <w:t>1 euro par</w:t>
      </w:r>
      <w:r w:rsidRPr="00B87AB2">
        <w:rPr>
          <w:rFonts w:ascii="Lato" w:hAnsi="Lato" w:cs="Tahoma"/>
          <w:sz w:val="22"/>
          <w:szCs w:val="22"/>
        </w:rPr>
        <w:t xml:space="preserve"> habitant par an, </w:t>
      </w:r>
    </w:p>
    <w:p w14:paraId="4CB61B5D" w14:textId="77777777" w:rsidR="00B87AB2" w:rsidRPr="00B87AB2" w:rsidRDefault="00B87AB2" w:rsidP="00B87AB2">
      <w:pPr>
        <w:pStyle w:val="Paragraphedeliste"/>
        <w:ind w:left="1068"/>
        <w:jc w:val="both"/>
        <w:rPr>
          <w:rFonts w:ascii="Lato" w:hAnsi="Lato" w:cs="Tahoma"/>
          <w:i/>
          <w:sz w:val="22"/>
          <w:szCs w:val="22"/>
        </w:rPr>
      </w:pPr>
    </w:p>
    <w:p w14:paraId="1C31AEB9" w14:textId="35392471" w:rsidR="00B87AB2" w:rsidRPr="00D35226" w:rsidRDefault="00B87AB2" w:rsidP="00B87AB2">
      <w:pPr>
        <w:pStyle w:val="Paragraphedeliste"/>
        <w:numPr>
          <w:ilvl w:val="0"/>
          <w:numId w:val="32"/>
        </w:numPr>
        <w:jc w:val="both"/>
        <w:rPr>
          <w:rFonts w:ascii="Lato" w:hAnsi="Lato" w:cs="Tahoma"/>
          <w:i/>
          <w:sz w:val="22"/>
          <w:szCs w:val="22"/>
        </w:rPr>
      </w:pPr>
      <w:r w:rsidRPr="00B87AB2">
        <w:rPr>
          <w:rFonts w:ascii="Lato" w:hAnsi="Lato" w:cs="Tahoma"/>
          <w:i/>
          <w:color w:val="000000"/>
          <w:sz w:val="22"/>
          <w:szCs w:val="22"/>
        </w:rPr>
        <w:t xml:space="preserve">EPCI : </w:t>
      </w:r>
      <w:r w:rsidRPr="00B87AB2">
        <w:rPr>
          <w:rFonts w:ascii="Lato" w:hAnsi="Lato" w:cs="Tahoma"/>
          <w:color w:val="000000"/>
          <w:sz w:val="22"/>
          <w:szCs w:val="22"/>
        </w:rPr>
        <w:t>200 euros</w:t>
      </w:r>
      <w:r w:rsidRPr="00B87AB2">
        <w:rPr>
          <w:rFonts w:ascii="Lato" w:hAnsi="Lato" w:cs="Tahoma"/>
          <w:sz w:val="22"/>
          <w:szCs w:val="22"/>
        </w:rPr>
        <w:t xml:space="preserve"> par tranche de 150 000 euros de dépenses de fonctionnement réalisées par an, plafonné à :</w:t>
      </w:r>
    </w:p>
    <w:p w14:paraId="3908A1C9" w14:textId="77777777" w:rsidR="00B87AB2" w:rsidRPr="00B87AB2" w:rsidRDefault="00B87AB2" w:rsidP="00B87AB2">
      <w:pPr>
        <w:pStyle w:val="Paragraphedeliste"/>
        <w:numPr>
          <w:ilvl w:val="1"/>
          <w:numId w:val="31"/>
        </w:numPr>
        <w:jc w:val="both"/>
        <w:rPr>
          <w:rFonts w:ascii="Lato" w:hAnsi="Lato" w:cs="Tahoma"/>
          <w:sz w:val="22"/>
          <w:szCs w:val="22"/>
        </w:rPr>
      </w:pPr>
      <w:r w:rsidRPr="00B87AB2">
        <w:rPr>
          <w:rFonts w:ascii="Lato" w:hAnsi="Lato" w:cs="Tahoma"/>
          <w:sz w:val="22"/>
          <w:szCs w:val="22"/>
        </w:rPr>
        <w:t>2 500 euros pour ceux dont les dépenses de fonctionnement prises en compte pour le calcul, sont inférieures à 2 000 000 d’euros</w:t>
      </w:r>
    </w:p>
    <w:p w14:paraId="1B3366CD" w14:textId="77777777" w:rsidR="00B87AB2" w:rsidRPr="00B87AB2" w:rsidRDefault="00B87AB2" w:rsidP="00B87AB2">
      <w:pPr>
        <w:pStyle w:val="Paragraphedeliste"/>
        <w:numPr>
          <w:ilvl w:val="1"/>
          <w:numId w:val="31"/>
        </w:numPr>
        <w:jc w:val="both"/>
        <w:rPr>
          <w:rFonts w:ascii="Lato" w:hAnsi="Lato" w:cs="Tahoma"/>
          <w:sz w:val="22"/>
          <w:szCs w:val="22"/>
        </w:rPr>
      </w:pPr>
      <w:r w:rsidRPr="00B87AB2">
        <w:rPr>
          <w:rFonts w:ascii="Lato" w:hAnsi="Lato" w:cs="Tahoma"/>
          <w:sz w:val="22"/>
          <w:szCs w:val="22"/>
        </w:rPr>
        <w:t>6 500 euros pour ceux dont les dépenses de fonctionnement prises en compte pour le calcul, sont comprises entre 2 000 000 d’euros et 5 000 000 d’euros,</w:t>
      </w:r>
    </w:p>
    <w:p w14:paraId="1DFB8497" w14:textId="77777777" w:rsidR="00B87AB2" w:rsidRPr="00B87AB2" w:rsidRDefault="00B87AB2" w:rsidP="00B87AB2">
      <w:pPr>
        <w:pStyle w:val="Paragraphedeliste"/>
        <w:numPr>
          <w:ilvl w:val="1"/>
          <w:numId w:val="31"/>
        </w:numPr>
        <w:jc w:val="both"/>
        <w:rPr>
          <w:rFonts w:ascii="Lato" w:hAnsi="Lato" w:cs="Tahoma"/>
          <w:sz w:val="22"/>
          <w:szCs w:val="22"/>
        </w:rPr>
      </w:pPr>
      <w:r w:rsidRPr="00B87AB2">
        <w:rPr>
          <w:rFonts w:ascii="Lato" w:hAnsi="Lato" w:cs="Tahoma"/>
          <w:sz w:val="22"/>
          <w:szCs w:val="22"/>
        </w:rPr>
        <w:t>12 500 euros pour ceux dont les dépenses de fonctionnement prises en compte pour le calcul, sont comprises entre 5 000 000 d’euros et 10 000 000 d’euros,</w:t>
      </w:r>
    </w:p>
    <w:p w14:paraId="551A5E95" w14:textId="77777777" w:rsidR="00B87AB2" w:rsidRPr="00B87AB2" w:rsidRDefault="00B87AB2" w:rsidP="00B87AB2">
      <w:pPr>
        <w:pStyle w:val="Paragraphedeliste"/>
        <w:numPr>
          <w:ilvl w:val="1"/>
          <w:numId w:val="31"/>
        </w:numPr>
        <w:jc w:val="both"/>
        <w:rPr>
          <w:rFonts w:ascii="Lato" w:hAnsi="Lato" w:cs="Tahoma"/>
          <w:sz w:val="22"/>
          <w:szCs w:val="22"/>
        </w:rPr>
      </w:pPr>
      <w:r w:rsidRPr="00B87AB2">
        <w:rPr>
          <w:rFonts w:ascii="Lato" w:hAnsi="Lato" w:cs="Tahoma"/>
          <w:sz w:val="22"/>
          <w:szCs w:val="22"/>
        </w:rPr>
        <w:t>15 000 euros pour ceux dont les dépenses de fonctionnement prises en compte pour le calcul, sont supérieures ou égales à 10 000 000 d’euros,</w:t>
      </w:r>
    </w:p>
    <w:p w14:paraId="6FAB7023" w14:textId="77777777" w:rsidR="00B87AB2" w:rsidRPr="00B87AB2" w:rsidRDefault="00B87AB2" w:rsidP="00B87AB2">
      <w:pPr>
        <w:pStyle w:val="Paragraphedeliste"/>
        <w:ind w:left="1788"/>
        <w:jc w:val="both"/>
        <w:rPr>
          <w:rFonts w:ascii="Lato" w:hAnsi="Lato" w:cs="Tahoma"/>
          <w:sz w:val="22"/>
          <w:szCs w:val="22"/>
        </w:rPr>
      </w:pPr>
    </w:p>
    <w:p w14:paraId="75CB19A1" w14:textId="67C026EF" w:rsidR="00B87AB2" w:rsidRPr="00D35226" w:rsidRDefault="00B87AB2" w:rsidP="00D35226">
      <w:pPr>
        <w:pStyle w:val="Paragraphedeliste"/>
        <w:numPr>
          <w:ilvl w:val="0"/>
          <w:numId w:val="32"/>
        </w:numPr>
        <w:jc w:val="both"/>
        <w:rPr>
          <w:rFonts w:ascii="Lato" w:hAnsi="Lato" w:cs="Tahoma"/>
          <w:i/>
          <w:sz w:val="22"/>
          <w:szCs w:val="22"/>
        </w:rPr>
      </w:pPr>
      <w:r w:rsidRPr="00B87AB2">
        <w:rPr>
          <w:rFonts w:ascii="Lato" w:hAnsi="Lato" w:cs="Tahoma"/>
          <w:i/>
          <w:sz w:val="22"/>
          <w:szCs w:val="22"/>
        </w:rPr>
        <w:t xml:space="preserve">Autres organismes (Syndicats Intercommunaux, PETR, </w:t>
      </w:r>
      <w:proofErr w:type="gramStart"/>
      <w:r w:rsidRPr="00B87AB2">
        <w:rPr>
          <w:rFonts w:ascii="Lato" w:hAnsi="Lato" w:cs="Tahoma"/>
          <w:i/>
          <w:sz w:val="22"/>
          <w:szCs w:val="22"/>
        </w:rPr>
        <w:t>PNR ,</w:t>
      </w:r>
      <w:proofErr w:type="gramEnd"/>
      <w:r w:rsidRPr="00B87AB2">
        <w:rPr>
          <w:rFonts w:ascii="Lato" w:hAnsi="Lato" w:cs="Tahoma"/>
          <w:i/>
          <w:sz w:val="22"/>
          <w:szCs w:val="22"/>
        </w:rPr>
        <w:t xml:space="preserve"> </w:t>
      </w:r>
      <w:proofErr w:type="spellStart"/>
      <w:r w:rsidRPr="00B87AB2">
        <w:rPr>
          <w:rFonts w:ascii="Lato" w:hAnsi="Lato" w:cs="Tahoma"/>
          <w:i/>
          <w:sz w:val="22"/>
          <w:szCs w:val="22"/>
        </w:rPr>
        <w:t>etc</w:t>
      </w:r>
      <w:proofErr w:type="spellEnd"/>
      <w:r w:rsidRPr="00B87AB2">
        <w:rPr>
          <w:rFonts w:ascii="Lato" w:hAnsi="Lato" w:cs="Tahoma"/>
          <w:i/>
          <w:sz w:val="22"/>
          <w:szCs w:val="22"/>
        </w:rPr>
        <w:t xml:space="preserve"> …) :  </w:t>
      </w:r>
      <w:r w:rsidRPr="00B87AB2">
        <w:rPr>
          <w:rFonts w:ascii="Lato" w:hAnsi="Lato" w:cs="Tahoma"/>
          <w:color w:val="000000"/>
          <w:sz w:val="22"/>
          <w:szCs w:val="22"/>
        </w:rPr>
        <w:t>200 euros</w:t>
      </w:r>
      <w:r w:rsidRPr="00B87AB2">
        <w:rPr>
          <w:rFonts w:ascii="Lato" w:hAnsi="Lato" w:cs="Tahoma"/>
          <w:sz w:val="22"/>
          <w:szCs w:val="22"/>
        </w:rPr>
        <w:t xml:space="preserve"> par tranche de 150 000 euros de dépenses de fonctionnement réalisées par an, plafonné à :</w:t>
      </w:r>
    </w:p>
    <w:p w14:paraId="0BA32B6E" w14:textId="77777777" w:rsidR="00B87AB2" w:rsidRPr="00B87AB2" w:rsidRDefault="00B87AB2" w:rsidP="00B87AB2">
      <w:pPr>
        <w:pStyle w:val="Paragraphedeliste"/>
        <w:numPr>
          <w:ilvl w:val="1"/>
          <w:numId w:val="31"/>
        </w:numPr>
        <w:jc w:val="both"/>
        <w:rPr>
          <w:rFonts w:ascii="Lato" w:hAnsi="Lato" w:cs="Tahoma"/>
          <w:sz w:val="22"/>
          <w:szCs w:val="22"/>
        </w:rPr>
      </w:pPr>
      <w:r w:rsidRPr="00B87AB2">
        <w:rPr>
          <w:rFonts w:ascii="Lato" w:hAnsi="Lato" w:cs="Tahoma"/>
          <w:sz w:val="22"/>
          <w:szCs w:val="22"/>
        </w:rPr>
        <w:t>1 200 euros pour ceux dont les dépenses de fonctionnement prises en compte pour le calcul, sont inférieures à 1 200 000 d’euros</w:t>
      </w:r>
    </w:p>
    <w:p w14:paraId="0DC5CAD8" w14:textId="77777777" w:rsidR="00B87AB2" w:rsidRPr="00B87AB2" w:rsidRDefault="00B87AB2" w:rsidP="00B87AB2">
      <w:pPr>
        <w:pStyle w:val="Paragraphedeliste"/>
        <w:numPr>
          <w:ilvl w:val="1"/>
          <w:numId w:val="31"/>
        </w:numPr>
        <w:jc w:val="both"/>
        <w:rPr>
          <w:rFonts w:ascii="Lato" w:hAnsi="Lato" w:cs="Tahoma"/>
          <w:sz w:val="22"/>
          <w:szCs w:val="22"/>
        </w:rPr>
      </w:pPr>
      <w:r w:rsidRPr="00B87AB2">
        <w:rPr>
          <w:rFonts w:ascii="Lato" w:hAnsi="Lato" w:cs="Tahoma"/>
          <w:sz w:val="22"/>
          <w:szCs w:val="22"/>
        </w:rPr>
        <w:t>1 900 euros pour ceux dont les dépenses de fonctionnement prises en compte pour le calcul, sont comprises entre 1 200 000 d’euros et 2 000 000 d’euros,</w:t>
      </w:r>
    </w:p>
    <w:p w14:paraId="78037690" w14:textId="77777777" w:rsidR="00B87AB2" w:rsidRPr="00B87AB2" w:rsidRDefault="00B87AB2" w:rsidP="00B87AB2">
      <w:pPr>
        <w:pStyle w:val="Paragraphedeliste"/>
        <w:numPr>
          <w:ilvl w:val="1"/>
          <w:numId w:val="31"/>
        </w:numPr>
        <w:jc w:val="both"/>
        <w:rPr>
          <w:rFonts w:ascii="Lato" w:hAnsi="Lato" w:cs="Tahoma"/>
          <w:sz w:val="22"/>
          <w:szCs w:val="22"/>
        </w:rPr>
      </w:pPr>
      <w:r w:rsidRPr="00B87AB2">
        <w:rPr>
          <w:rFonts w:ascii="Lato" w:hAnsi="Lato" w:cs="Tahoma"/>
          <w:sz w:val="22"/>
          <w:szCs w:val="22"/>
        </w:rPr>
        <w:t>3 800 euros pour ceux dont les dépenses de fonctionnement prises en compte pour le calcul, sont comprises entre 2 000 000 d’euros et 3 000 000 d’euros,</w:t>
      </w:r>
    </w:p>
    <w:p w14:paraId="37E8780F" w14:textId="77777777" w:rsidR="00B87AB2" w:rsidRPr="00B87AB2" w:rsidRDefault="00B87AB2" w:rsidP="00B87AB2">
      <w:pPr>
        <w:pStyle w:val="Paragraphedeliste"/>
        <w:numPr>
          <w:ilvl w:val="1"/>
          <w:numId w:val="31"/>
        </w:numPr>
        <w:jc w:val="both"/>
        <w:rPr>
          <w:rFonts w:ascii="Lato" w:hAnsi="Lato" w:cs="Tahoma"/>
          <w:sz w:val="22"/>
          <w:szCs w:val="22"/>
        </w:rPr>
      </w:pPr>
      <w:r w:rsidRPr="00B87AB2">
        <w:rPr>
          <w:rFonts w:ascii="Lato" w:hAnsi="Lato" w:cs="Tahoma"/>
          <w:sz w:val="22"/>
          <w:szCs w:val="22"/>
        </w:rPr>
        <w:t>6 000 euros pour ceux dont les dépenses de fonctionnement prises en compte pour le calcul, sont comprises entre 3 000 000 d’euros et 5 000 000 d’euros,</w:t>
      </w:r>
    </w:p>
    <w:p w14:paraId="6C52BA21" w14:textId="77777777" w:rsidR="00B87AB2" w:rsidRPr="00B87AB2" w:rsidRDefault="00B87AB2" w:rsidP="00B87AB2">
      <w:pPr>
        <w:pStyle w:val="Paragraphedeliste"/>
        <w:numPr>
          <w:ilvl w:val="1"/>
          <w:numId w:val="31"/>
        </w:numPr>
        <w:jc w:val="both"/>
        <w:rPr>
          <w:rFonts w:ascii="Lato" w:hAnsi="Lato" w:cs="Tahoma"/>
          <w:sz w:val="22"/>
          <w:szCs w:val="22"/>
        </w:rPr>
      </w:pPr>
      <w:r w:rsidRPr="00B87AB2">
        <w:rPr>
          <w:rFonts w:ascii="Lato" w:hAnsi="Lato" w:cs="Tahoma"/>
          <w:sz w:val="22"/>
          <w:szCs w:val="22"/>
        </w:rPr>
        <w:t>10 000 euros pour ceux dont les dépenses de fonctionnement prises en compte pour le calcul sont supérieures ou égales à 5 000 000 d’euros,</w:t>
      </w:r>
    </w:p>
    <w:p w14:paraId="3CBB664B" w14:textId="77777777" w:rsidR="00B87AB2" w:rsidRPr="00B87AB2" w:rsidRDefault="00B87AB2" w:rsidP="00B87AB2">
      <w:pPr>
        <w:pStyle w:val="Paragraphedeliste"/>
        <w:ind w:left="1788"/>
        <w:jc w:val="both"/>
        <w:rPr>
          <w:rFonts w:ascii="Lato" w:hAnsi="Lato" w:cs="Tahoma"/>
          <w:sz w:val="22"/>
          <w:szCs w:val="22"/>
        </w:rPr>
      </w:pPr>
    </w:p>
    <w:p w14:paraId="7C503112" w14:textId="77777777" w:rsidR="00B87AB2" w:rsidRPr="00FE6F18" w:rsidRDefault="00B87AB2" w:rsidP="00B87AB2">
      <w:pPr>
        <w:ind w:firstLine="708"/>
        <w:jc w:val="both"/>
        <w:rPr>
          <w:rFonts w:ascii="Lato" w:hAnsi="Lato" w:cs="Tahoma"/>
          <w:sz w:val="22"/>
          <w:szCs w:val="22"/>
        </w:rPr>
      </w:pPr>
      <w:r w:rsidRPr="00FE6F18">
        <w:rPr>
          <w:rFonts w:ascii="Lato" w:hAnsi="Lato" w:cs="Tahoma"/>
          <w:sz w:val="22"/>
          <w:szCs w:val="22"/>
        </w:rPr>
        <w:t xml:space="preserve">Pour les communes, la population prise en compte est la dernière population municipale INSEE connue et pour les autres organismes, la cotisation est calculée sur la base des dépenses de fonctionnement réalisées du Budget Principal (Onglet II-A1 du Compte administratif de l’année n-1). </w:t>
      </w:r>
    </w:p>
    <w:p w14:paraId="4824CF9A" w14:textId="77777777" w:rsidR="00B87AB2" w:rsidRPr="00B87AB2" w:rsidRDefault="00B87AB2" w:rsidP="00B87AB2">
      <w:pPr>
        <w:rPr>
          <w:rFonts w:ascii="Lato" w:hAnsi="Lato" w:cs="Tahoma"/>
          <w:sz w:val="22"/>
          <w:szCs w:val="22"/>
        </w:rPr>
      </w:pPr>
    </w:p>
    <w:p w14:paraId="20D5EF76" w14:textId="2796780C" w:rsidR="00B87AB2" w:rsidRDefault="00FE6F18" w:rsidP="00B87AB2">
      <w:pPr>
        <w:pStyle w:val="Paragraphedeliste"/>
        <w:numPr>
          <w:ilvl w:val="0"/>
          <w:numId w:val="30"/>
        </w:numPr>
        <w:rPr>
          <w:rFonts w:ascii="Lato" w:hAnsi="Lato" w:cs="Tahoma"/>
          <w:b/>
          <w:sz w:val="22"/>
          <w:szCs w:val="22"/>
          <w:u w:val="single"/>
        </w:rPr>
      </w:pPr>
      <w:r>
        <w:rPr>
          <w:rFonts w:ascii="Lato" w:hAnsi="Lato" w:cs="Tahoma"/>
          <w:b/>
          <w:sz w:val="22"/>
          <w:szCs w:val="22"/>
          <w:u w:val="single"/>
        </w:rPr>
        <w:t>Participation</w:t>
      </w:r>
      <w:r w:rsidR="00B87AB2" w:rsidRPr="00B87AB2">
        <w:rPr>
          <w:rFonts w:ascii="Lato" w:hAnsi="Lato" w:cs="Tahoma"/>
          <w:b/>
          <w:sz w:val="22"/>
          <w:szCs w:val="22"/>
          <w:u w:val="single"/>
        </w:rPr>
        <w:t xml:space="preserve"> financière </w:t>
      </w:r>
      <w:r>
        <w:rPr>
          <w:rFonts w:ascii="Lato" w:hAnsi="Lato" w:cs="Tahoma"/>
          <w:b/>
          <w:sz w:val="22"/>
          <w:szCs w:val="22"/>
          <w:u w:val="single"/>
        </w:rPr>
        <w:t xml:space="preserve">pour les missions - hors offre socle - </w:t>
      </w:r>
      <w:r w:rsidR="00B87AB2">
        <w:rPr>
          <w:rFonts w:ascii="Lato" w:hAnsi="Lato" w:cs="Tahoma"/>
          <w:b/>
          <w:sz w:val="22"/>
          <w:szCs w:val="22"/>
          <w:u w:val="single"/>
        </w:rPr>
        <w:t>sur la base d’un nombre de jours</w:t>
      </w:r>
      <w:r>
        <w:rPr>
          <w:rFonts w:ascii="Lato" w:hAnsi="Lato" w:cs="Tahoma"/>
          <w:b/>
          <w:sz w:val="22"/>
          <w:szCs w:val="22"/>
          <w:u w:val="single"/>
        </w:rPr>
        <w:t xml:space="preserve"> de travail</w:t>
      </w:r>
    </w:p>
    <w:p w14:paraId="5F3A8074" w14:textId="77777777" w:rsidR="00D35226" w:rsidRPr="00D35226" w:rsidRDefault="00D35226" w:rsidP="00D35226">
      <w:pPr>
        <w:pStyle w:val="Paragraphedeliste"/>
        <w:ind w:left="720"/>
        <w:rPr>
          <w:rFonts w:ascii="Lato" w:hAnsi="Lato" w:cs="Tahoma"/>
          <w:b/>
          <w:sz w:val="22"/>
          <w:szCs w:val="22"/>
          <w:u w:val="single"/>
        </w:rPr>
      </w:pPr>
    </w:p>
    <w:p w14:paraId="4A50477A" w14:textId="2B9E4514" w:rsidR="00B87AB2" w:rsidRDefault="00B87AB2" w:rsidP="00B87AB2">
      <w:pPr>
        <w:jc w:val="both"/>
        <w:rPr>
          <w:rFonts w:ascii="Lato" w:hAnsi="Lato" w:cs="Tahoma"/>
          <w:color w:val="000000" w:themeColor="text1"/>
          <w:sz w:val="22"/>
          <w:szCs w:val="22"/>
        </w:rPr>
      </w:pPr>
      <w:r>
        <w:rPr>
          <w:rFonts w:ascii="Lato" w:hAnsi="Lato" w:cs="Tahoma"/>
          <w:color w:val="000000" w:themeColor="text1"/>
          <w:sz w:val="22"/>
          <w:szCs w:val="22"/>
        </w:rPr>
        <w:t xml:space="preserve">Pour les missions non incluses dans </w:t>
      </w:r>
      <w:r w:rsidR="00FE6F18">
        <w:rPr>
          <w:rFonts w:ascii="Lato" w:hAnsi="Lato" w:cs="Tahoma"/>
          <w:color w:val="000000" w:themeColor="text1"/>
          <w:sz w:val="22"/>
          <w:szCs w:val="22"/>
        </w:rPr>
        <w:t>l’offre socle</w:t>
      </w:r>
      <w:r w:rsidR="00D35226">
        <w:rPr>
          <w:rFonts w:ascii="Lato" w:hAnsi="Lato" w:cs="Tahoma"/>
          <w:color w:val="000000" w:themeColor="text1"/>
          <w:sz w:val="22"/>
          <w:szCs w:val="22"/>
        </w:rPr>
        <w:t xml:space="preserve"> </w:t>
      </w:r>
      <w:r w:rsidR="00FE6F18">
        <w:rPr>
          <w:rFonts w:ascii="Lato" w:hAnsi="Lato" w:cs="Tahoma"/>
          <w:color w:val="000000" w:themeColor="text1"/>
          <w:sz w:val="22"/>
          <w:szCs w:val="22"/>
        </w:rPr>
        <w:t xml:space="preserve">et donnant lieu à une participation financière sur la base du nombre de jours de travail, les tarifs /jour servant au calcul de la participation sont les suivants : </w:t>
      </w:r>
    </w:p>
    <w:p w14:paraId="1C8BF687" w14:textId="77777777" w:rsidR="00FE6F18" w:rsidRPr="00B87AB2" w:rsidRDefault="00FE6F18" w:rsidP="00B87AB2">
      <w:pPr>
        <w:jc w:val="both"/>
        <w:rPr>
          <w:rFonts w:ascii="Lato" w:hAnsi="Lato" w:cs="Tahoma"/>
          <w:color w:val="000000"/>
          <w:sz w:val="22"/>
          <w:szCs w:val="22"/>
        </w:rPr>
      </w:pPr>
    </w:p>
    <w:p w14:paraId="73FC8D26" w14:textId="0C8F9A1B" w:rsidR="00B87AB2" w:rsidRPr="00FE6F18" w:rsidRDefault="00B87AB2" w:rsidP="00273EFE">
      <w:pPr>
        <w:pStyle w:val="Paragraphedeliste"/>
        <w:numPr>
          <w:ilvl w:val="0"/>
          <w:numId w:val="31"/>
        </w:numPr>
        <w:jc w:val="both"/>
        <w:rPr>
          <w:rFonts w:ascii="Lato" w:hAnsi="Lato" w:cs="Tahoma"/>
          <w:color w:val="000000"/>
          <w:sz w:val="22"/>
          <w:szCs w:val="22"/>
        </w:rPr>
      </w:pPr>
      <w:r w:rsidRPr="00FE6F18">
        <w:rPr>
          <w:rFonts w:ascii="Lato" w:hAnsi="Lato" w:cs="Tahoma"/>
          <w:color w:val="000000"/>
          <w:sz w:val="22"/>
          <w:szCs w:val="22"/>
        </w:rPr>
        <w:t xml:space="preserve"> </w:t>
      </w:r>
      <w:r w:rsidR="00FE6F18" w:rsidRPr="00FE6F18">
        <w:rPr>
          <w:rFonts w:ascii="Lato" w:hAnsi="Lato" w:cs="Tahoma"/>
          <w:color w:val="000000"/>
          <w:sz w:val="22"/>
          <w:szCs w:val="22"/>
        </w:rPr>
        <w:t xml:space="preserve">400 € / jour </w:t>
      </w:r>
    </w:p>
    <w:p w14:paraId="7B957605" w14:textId="77777777" w:rsidR="00FE6F18" w:rsidRPr="00FE6F18" w:rsidRDefault="00FE6F18" w:rsidP="00FE6F18">
      <w:pPr>
        <w:pStyle w:val="Paragraphedeliste"/>
        <w:ind w:left="1068"/>
        <w:jc w:val="both"/>
        <w:rPr>
          <w:rFonts w:ascii="Lato" w:hAnsi="Lato" w:cs="Tahoma"/>
          <w:color w:val="000000"/>
          <w:sz w:val="22"/>
          <w:szCs w:val="22"/>
        </w:rPr>
      </w:pPr>
    </w:p>
    <w:p w14:paraId="37296A77" w14:textId="3BFA1BDC" w:rsidR="00FE6F18" w:rsidRDefault="00FE6F18" w:rsidP="00273EFE">
      <w:pPr>
        <w:pStyle w:val="Paragraphedeliste"/>
        <w:numPr>
          <w:ilvl w:val="0"/>
          <w:numId w:val="31"/>
        </w:numPr>
        <w:jc w:val="both"/>
        <w:rPr>
          <w:rFonts w:ascii="Lato" w:hAnsi="Lato" w:cs="Tahoma"/>
          <w:color w:val="000000"/>
          <w:sz w:val="22"/>
          <w:szCs w:val="22"/>
        </w:rPr>
      </w:pPr>
      <w:r w:rsidRPr="00FE6F18">
        <w:rPr>
          <w:rFonts w:ascii="Lato" w:hAnsi="Lato" w:cs="Tahoma"/>
          <w:color w:val="000000"/>
          <w:sz w:val="22"/>
          <w:szCs w:val="22"/>
        </w:rPr>
        <w:t>300 € /jour pour les activités ainsi ciblées : activités de suivi de travaux /de chantier en matière de voirie-mobilités.</w:t>
      </w:r>
    </w:p>
    <w:p w14:paraId="27A6E782" w14:textId="77777777" w:rsidR="00D35226" w:rsidRPr="00D35226" w:rsidRDefault="00D35226" w:rsidP="00D35226">
      <w:pPr>
        <w:pStyle w:val="Paragraphedeliste"/>
        <w:rPr>
          <w:rFonts w:ascii="Lato" w:hAnsi="Lato" w:cs="Tahoma"/>
          <w:color w:val="000000"/>
          <w:sz w:val="22"/>
          <w:szCs w:val="22"/>
        </w:rPr>
      </w:pPr>
    </w:p>
    <w:p w14:paraId="3B1B76BC" w14:textId="3C3A16F5" w:rsidR="00D35226" w:rsidRPr="00AA50AD" w:rsidRDefault="00D35226" w:rsidP="00D35226">
      <w:pPr>
        <w:pStyle w:val="Paragraphedeliste"/>
        <w:numPr>
          <w:ilvl w:val="0"/>
          <w:numId w:val="30"/>
        </w:numPr>
        <w:jc w:val="both"/>
        <w:rPr>
          <w:rFonts w:ascii="Lato" w:hAnsi="Lato" w:cs="Tahoma"/>
          <w:sz w:val="22"/>
          <w:szCs w:val="22"/>
        </w:rPr>
      </w:pPr>
      <w:r w:rsidRPr="00AA50AD">
        <w:rPr>
          <w:rFonts w:ascii="Lato" w:hAnsi="Lato" w:cs="Tahoma"/>
          <w:b/>
          <w:bCs/>
          <w:sz w:val="22"/>
          <w:szCs w:val="22"/>
          <w:u w:val="single"/>
        </w:rPr>
        <w:t>Demandes spécifiques et exceptionnelles :</w:t>
      </w:r>
      <w:r w:rsidRPr="00AA50AD">
        <w:rPr>
          <w:rFonts w:ascii="Lato" w:hAnsi="Lato" w:cs="Tahoma"/>
          <w:sz w:val="22"/>
          <w:szCs w:val="22"/>
        </w:rPr>
        <w:t xml:space="preserve"> </w:t>
      </w:r>
      <w:r w:rsidR="00AA50AD" w:rsidRPr="00AA50AD">
        <w:rPr>
          <w:rFonts w:ascii="Lato" w:hAnsi="Lato" w:cs="Tahoma"/>
          <w:sz w:val="22"/>
          <w:szCs w:val="22"/>
        </w:rPr>
        <w:t xml:space="preserve">Pour certains projets spécifiques ou exceptionnels, nécessitant une mobilisation accrue des équipes tant en temps qu’en expertise, l’Agence se réserve la possibilité de demander une participation financière individualisée.  </w:t>
      </w:r>
    </w:p>
    <w:sectPr w:rsidR="00D35226" w:rsidRPr="00AA50AD" w:rsidSect="000B7EF8">
      <w:pgSz w:w="11906" w:h="16838" w:code="9"/>
      <w:pgMar w:top="567" w:right="1134"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C3626" w14:textId="77777777" w:rsidR="001D6914" w:rsidRDefault="001D6914" w:rsidP="00193916">
      <w:r>
        <w:separator/>
      </w:r>
    </w:p>
  </w:endnote>
  <w:endnote w:type="continuationSeparator" w:id="0">
    <w:p w14:paraId="05C2494D" w14:textId="77777777" w:rsidR="001D6914" w:rsidRDefault="001D6914" w:rsidP="0019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57BE" w14:textId="77777777" w:rsidR="001D6914" w:rsidRDefault="001D6914" w:rsidP="00193916">
      <w:r>
        <w:separator/>
      </w:r>
    </w:p>
  </w:footnote>
  <w:footnote w:type="continuationSeparator" w:id="0">
    <w:p w14:paraId="048F1229" w14:textId="77777777" w:rsidR="001D6914" w:rsidRDefault="001D6914" w:rsidP="00193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C07"/>
    <w:multiLevelType w:val="hybridMultilevel"/>
    <w:tmpl w:val="E78A45A6"/>
    <w:lvl w:ilvl="0" w:tplc="223823B2">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454F45"/>
    <w:multiLevelType w:val="hybridMultilevel"/>
    <w:tmpl w:val="EE62D292"/>
    <w:lvl w:ilvl="0" w:tplc="BD60A3E2">
      <w:numFmt w:val="bullet"/>
      <w:lvlText w:val="-"/>
      <w:lvlJc w:val="left"/>
      <w:pPr>
        <w:ind w:left="720" w:hanging="360"/>
      </w:pPr>
      <w:rPr>
        <w:rFonts w:ascii="Lato" w:eastAsia="Times New Roman"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4A6683"/>
    <w:multiLevelType w:val="hybridMultilevel"/>
    <w:tmpl w:val="6E4009E8"/>
    <w:lvl w:ilvl="0" w:tplc="CE02D09C">
      <w:numFmt w:val="bullet"/>
      <w:lvlText w:val="-"/>
      <w:lvlJc w:val="left"/>
      <w:pPr>
        <w:ind w:left="720" w:hanging="360"/>
      </w:pPr>
      <w:rPr>
        <w:rFonts w:ascii="Lato" w:eastAsia="Times New Roman"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425145"/>
    <w:multiLevelType w:val="hybridMultilevel"/>
    <w:tmpl w:val="8BCEC3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FC654A"/>
    <w:multiLevelType w:val="hybridMultilevel"/>
    <w:tmpl w:val="9D706E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D17999"/>
    <w:multiLevelType w:val="hybridMultilevel"/>
    <w:tmpl w:val="C854DE32"/>
    <w:lvl w:ilvl="0" w:tplc="210E657C">
      <w:numFmt w:val="bullet"/>
      <w:lvlText w:val="-"/>
      <w:lvlJc w:val="left"/>
      <w:pPr>
        <w:ind w:left="720" w:hanging="360"/>
      </w:pPr>
      <w:rPr>
        <w:rFonts w:ascii="Lato" w:eastAsia="Times New Roman"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0F1A97"/>
    <w:multiLevelType w:val="multilevel"/>
    <w:tmpl w:val="6E0E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27872"/>
    <w:multiLevelType w:val="hybridMultilevel"/>
    <w:tmpl w:val="A50C6842"/>
    <w:lvl w:ilvl="0" w:tplc="6F80DE2A">
      <w:numFmt w:val="bullet"/>
      <w:lvlText w:val="-"/>
      <w:lvlJc w:val="left"/>
      <w:pPr>
        <w:ind w:left="720" w:hanging="360"/>
      </w:pPr>
      <w:rPr>
        <w:rFonts w:ascii="Lato" w:eastAsia="Times New Roman" w:hAnsi="La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825288"/>
    <w:multiLevelType w:val="hybridMultilevel"/>
    <w:tmpl w:val="12DCE296"/>
    <w:lvl w:ilvl="0" w:tplc="040C000B">
      <w:start w:val="1"/>
      <w:numFmt w:val="bullet"/>
      <w:lvlText w:val=""/>
      <w:lvlJc w:val="left"/>
      <w:pPr>
        <w:ind w:left="1068" w:hanging="360"/>
      </w:pPr>
      <w:rPr>
        <w:rFonts w:ascii="Wingdings" w:hAnsi="Wingdings" w:hint="default"/>
        <w:color w:val="00000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29642918"/>
    <w:multiLevelType w:val="hybridMultilevel"/>
    <w:tmpl w:val="6FE045CA"/>
    <w:lvl w:ilvl="0" w:tplc="C2E08BFC">
      <w:start w:val="4"/>
      <w:numFmt w:val="bullet"/>
      <w:lvlText w:val="-"/>
      <w:lvlJc w:val="left"/>
      <w:pPr>
        <w:ind w:left="1637" w:hanging="360"/>
      </w:pPr>
      <w:rPr>
        <w:rFonts w:ascii="Arial" w:eastAsia="Times New Roman" w:hAnsi="Arial" w:hint="default"/>
        <w:b/>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3E7837"/>
    <w:multiLevelType w:val="hybridMultilevel"/>
    <w:tmpl w:val="84C4DA7E"/>
    <w:lvl w:ilvl="0" w:tplc="8DEE6232">
      <w:numFmt w:val="bullet"/>
      <w:lvlText w:val="-"/>
      <w:lvlJc w:val="left"/>
      <w:pPr>
        <w:ind w:left="1068" w:hanging="360"/>
      </w:pPr>
      <w:rPr>
        <w:rFonts w:ascii="Tahoma" w:eastAsia="Times New Roman" w:hAnsi="Tahoma" w:cs="Tahoma" w:hint="default"/>
        <w:color w:val="auto"/>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7A1F52"/>
    <w:multiLevelType w:val="hybridMultilevel"/>
    <w:tmpl w:val="70C477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23370BB"/>
    <w:multiLevelType w:val="hybridMultilevel"/>
    <w:tmpl w:val="957EA1B6"/>
    <w:lvl w:ilvl="0" w:tplc="B484AACA">
      <w:numFmt w:val="bullet"/>
      <w:lvlText w:val="-"/>
      <w:lvlJc w:val="left"/>
      <w:pPr>
        <w:ind w:left="1068" w:hanging="360"/>
      </w:pPr>
      <w:rPr>
        <w:rFonts w:ascii="Tahoma" w:eastAsia="Times New Roman" w:hAnsi="Tahoma" w:cs="Tahoma"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2736A41"/>
    <w:multiLevelType w:val="hybridMultilevel"/>
    <w:tmpl w:val="BCC8BF00"/>
    <w:lvl w:ilvl="0" w:tplc="AAB6A288">
      <w:start w:val="200"/>
      <w:numFmt w:val="bullet"/>
      <w:lvlText w:val="-"/>
      <w:lvlJc w:val="left"/>
      <w:pPr>
        <w:ind w:left="1068" w:hanging="360"/>
      </w:pPr>
      <w:rPr>
        <w:rFonts w:ascii="Lato" w:eastAsia="Calibri" w:hAnsi="Lato" w:cs="Tahoma"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44B05A7C"/>
    <w:multiLevelType w:val="hybridMultilevel"/>
    <w:tmpl w:val="EC307732"/>
    <w:lvl w:ilvl="0" w:tplc="D4766E9C">
      <w:numFmt w:val="bullet"/>
      <w:lvlText w:val="-"/>
      <w:lvlJc w:val="left"/>
      <w:pPr>
        <w:ind w:left="720" w:hanging="360"/>
      </w:pPr>
      <w:rPr>
        <w:rFonts w:ascii="Lato" w:eastAsia="Times New Roman" w:hAnsi="La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EE0EF5"/>
    <w:multiLevelType w:val="hybridMultilevel"/>
    <w:tmpl w:val="0B32D4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EB4C65"/>
    <w:multiLevelType w:val="multilevel"/>
    <w:tmpl w:val="1ACA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1C1E38"/>
    <w:multiLevelType w:val="hybridMultilevel"/>
    <w:tmpl w:val="AE708648"/>
    <w:lvl w:ilvl="0" w:tplc="6C8CB7EE">
      <w:start w:val="50"/>
      <w:numFmt w:val="bullet"/>
      <w:lvlText w:val="-"/>
      <w:lvlJc w:val="left"/>
      <w:pPr>
        <w:ind w:left="720" w:hanging="360"/>
      </w:pPr>
      <w:rPr>
        <w:rFonts w:ascii="Lato" w:eastAsia="Times New Roman" w:hAnsi="Lato"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3C6A11"/>
    <w:multiLevelType w:val="hybridMultilevel"/>
    <w:tmpl w:val="4D3E9416"/>
    <w:lvl w:ilvl="0" w:tplc="EA10FD68">
      <w:numFmt w:val="bullet"/>
      <w:lvlText w:val=""/>
      <w:lvlJc w:val="left"/>
      <w:pPr>
        <w:ind w:left="1776" w:hanging="360"/>
      </w:pPr>
      <w:rPr>
        <w:rFonts w:ascii="Symbol" w:eastAsia="Times New Roman" w:hAnsi="Symbol" w:cs="Tahoma"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0" w15:restartNumberingAfterBreak="0">
    <w:nsid w:val="516C6BB6"/>
    <w:multiLevelType w:val="hybridMultilevel"/>
    <w:tmpl w:val="E3FA86B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9F0670"/>
    <w:multiLevelType w:val="hybridMultilevel"/>
    <w:tmpl w:val="3EE2D85E"/>
    <w:lvl w:ilvl="0" w:tplc="BD60A3E2">
      <w:numFmt w:val="bullet"/>
      <w:lvlText w:val="-"/>
      <w:lvlJc w:val="left"/>
      <w:pPr>
        <w:ind w:left="720" w:hanging="360"/>
      </w:pPr>
      <w:rPr>
        <w:rFonts w:ascii="Lato" w:eastAsia="Times New Roman"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E06171"/>
    <w:multiLevelType w:val="hybridMultilevel"/>
    <w:tmpl w:val="746A75E4"/>
    <w:lvl w:ilvl="0" w:tplc="28A6D330">
      <w:start w:val="3"/>
      <w:numFmt w:val="bullet"/>
      <w:lvlText w:val="-"/>
      <w:lvlJc w:val="left"/>
      <w:pPr>
        <w:ind w:left="1068" w:hanging="360"/>
      </w:pPr>
      <w:rPr>
        <w:rFonts w:ascii="Lato" w:eastAsia="Times New Roman" w:hAnsi="Lato" w:cs="Tahom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62A35825"/>
    <w:multiLevelType w:val="hybridMultilevel"/>
    <w:tmpl w:val="DF50809A"/>
    <w:lvl w:ilvl="0" w:tplc="9E6880B4">
      <w:start w:val="1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87407CE"/>
    <w:multiLevelType w:val="hybridMultilevel"/>
    <w:tmpl w:val="132856AA"/>
    <w:lvl w:ilvl="0" w:tplc="C5EEE17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E9519C"/>
    <w:multiLevelType w:val="hybridMultilevel"/>
    <w:tmpl w:val="19C053AA"/>
    <w:lvl w:ilvl="0" w:tplc="BD60A3E2">
      <w:numFmt w:val="bullet"/>
      <w:lvlText w:val="-"/>
      <w:lvlJc w:val="left"/>
      <w:pPr>
        <w:ind w:left="720" w:hanging="360"/>
      </w:pPr>
      <w:rPr>
        <w:rFonts w:ascii="Lato" w:eastAsia="Times New Roman"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880C92"/>
    <w:multiLevelType w:val="hybridMultilevel"/>
    <w:tmpl w:val="A3BE1B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393DDC"/>
    <w:multiLevelType w:val="multilevel"/>
    <w:tmpl w:val="ACE2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B221B6"/>
    <w:multiLevelType w:val="multilevel"/>
    <w:tmpl w:val="D2BE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F60719"/>
    <w:multiLevelType w:val="hybridMultilevel"/>
    <w:tmpl w:val="50B21CB0"/>
    <w:lvl w:ilvl="0" w:tplc="1D2C79E2">
      <w:numFmt w:val="bullet"/>
      <w:lvlText w:val=""/>
      <w:lvlJc w:val="left"/>
      <w:pPr>
        <w:ind w:left="720" w:hanging="360"/>
      </w:pPr>
      <w:rPr>
        <w:rFonts w:ascii="Symbol" w:eastAsia="Times New Roman"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224B4D"/>
    <w:multiLevelType w:val="hybridMultilevel"/>
    <w:tmpl w:val="117408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FB2D32"/>
    <w:multiLevelType w:val="hybridMultilevel"/>
    <w:tmpl w:val="CCE4F1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1296">
    <w:abstractNumId w:val="10"/>
  </w:num>
  <w:num w:numId="2" w16cid:durableId="703555692">
    <w:abstractNumId w:val="13"/>
  </w:num>
  <w:num w:numId="3" w16cid:durableId="233710769">
    <w:abstractNumId w:val="19"/>
  </w:num>
  <w:num w:numId="4" w16cid:durableId="1742093210">
    <w:abstractNumId w:val="23"/>
  </w:num>
  <w:num w:numId="5" w16cid:durableId="1907766088">
    <w:abstractNumId w:val="9"/>
  </w:num>
  <w:num w:numId="6" w16cid:durableId="48848285">
    <w:abstractNumId w:val="5"/>
  </w:num>
  <w:num w:numId="7" w16cid:durableId="606473275">
    <w:abstractNumId w:val="11"/>
  </w:num>
  <w:num w:numId="8" w16cid:durableId="1987780922">
    <w:abstractNumId w:val="7"/>
  </w:num>
  <w:num w:numId="9" w16cid:durableId="289173018">
    <w:abstractNumId w:val="15"/>
  </w:num>
  <w:num w:numId="10" w16cid:durableId="1557159024">
    <w:abstractNumId w:val="22"/>
  </w:num>
  <w:num w:numId="11" w16cid:durableId="254557539">
    <w:abstractNumId w:val="24"/>
  </w:num>
  <w:num w:numId="12" w16cid:durableId="1967351588">
    <w:abstractNumId w:val="28"/>
  </w:num>
  <w:num w:numId="13" w16cid:durableId="1576084645">
    <w:abstractNumId w:val="27"/>
  </w:num>
  <w:num w:numId="14" w16cid:durableId="340549542">
    <w:abstractNumId w:val="17"/>
  </w:num>
  <w:num w:numId="15" w16cid:durableId="1368943737">
    <w:abstractNumId w:val="29"/>
  </w:num>
  <w:num w:numId="16" w16cid:durableId="422730204">
    <w:abstractNumId w:val="6"/>
  </w:num>
  <w:num w:numId="17" w16cid:durableId="462770834">
    <w:abstractNumId w:val="2"/>
  </w:num>
  <w:num w:numId="18" w16cid:durableId="1233539351">
    <w:abstractNumId w:val="3"/>
  </w:num>
  <w:num w:numId="19" w16cid:durableId="1629580404">
    <w:abstractNumId w:val="0"/>
  </w:num>
  <w:num w:numId="20" w16cid:durableId="1917982303">
    <w:abstractNumId w:val="1"/>
  </w:num>
  <w:num w:numId="21" w16cid:durableId="635068153">
    <w:abstractNumId w:val="16"/>
  </w:num>
  <w:num w:numId="22" w16cid:durableId="353263530">
    <w:abstractNumId w:val="4"/>
  </w:num>
  <w:num w:numId="23" w16cid:durableId="1577859915">
    <w:abstractNumId w:val="25"/>
  </w:num>
  <w:num w:numId="24" w16cid:durableId="78135866">
    <w:abstractNumId w:val="31"/>
  </w:num>
  <w:num w:numId="25" w16cid:durableId="670062316">
    <w:abstractNumId w:val="21"/>
  </w:num>
  <w:num w:numId="26" w16cid:durableId="874736256">
    <w:abstractNumId w:val="20"/>
  </w:num>
  <w:num w:numId="27" w16cid:durableId="1735590586">
    <w:abstractNumId w:val="18"/>
  </w:num>
  <w:num w:numId="28" w16cid:durableId="1745226174">
    <w:abstractNumId w:val="12"/>
  </w:num>
  <w:num w:numId="29" w16cid:durableId="920069398">
    <w:abstractNumId w:val="30"/>
  </w:num>
  <w:num w:numId="30" w16cid:durableId="1093085832">
    <w:abstractNumId w:val="26"/>
  </w:num>
  <w:num w:numId="31" w16cid:durableId="965962688">
    <w:abstractNumId w:val="14"/>
  </w:num>
  <w:num w:numId="32" w16cid:durableId="12757913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CE9"/>
    <w:rsid w:val="000030FF"/>
    <w:rsid w:val="00012B76"/>
    <w:rsid w:val="0001782D"/>
    <w:rsid w:val="00040993"/>
    <w:rsid w:val="00053406"/>
    <w:rsid w:val="000555DF"/>
    <w:rsid w:val="000734DD"/>
    <w:rsid w:val="00083C77"/>
    <w:rsid w:val="00084F58"/>
    <w:rsid w:val="0008742D"/>
    <w:rsid w:val="000B7EF8"/>
    <w:rsid w:val="000D2CE4"/>
    <w:rsid w:val="000E51D7"/>
    <w:rsid w:val="001008A9"/>
    <w:rsid w:val="00107CD5"/>
    <w:rsid w:val="001323F3"/>
    <w:rsid w:val="0014241F"/>
    <w:rsid w:val="00144D54"/>
    <w:rsid w:val="0014660A"/>
    <w:rsid w:val="00150DD8"/>
    <w:rsid w:val="001541B5"/>
    <w:rsid w:val="001543BE"/>
    <w:rsid w:val="00160FEE"/>
    <w:rsid w:val="00171A16"/>
    <w:rsid w:val="001818AC"/>
    <w:rsid w:val="00183D9F"/>
    <w:rsid w:val="00184FE4"/>
    <w:rsid w:val="001868D4"/>
    <w:rsid w:val="00186D21"/>
    <w:rsid w:val="00187F6C"/>
    <w:rsid w:val="00193916"/>
    <w:rsid w:val="00193BB9"/>
    <w:rsid w:val="001A0FE2"/>
    <w:rsid w:val="001A7D21"/>
    <w:rsid w:val="001B1D30"/>
    <w:rsid w:val="001C1F93"/>
    <w:rsid w:val="001D5006"/>
    <w:rsid w:val="001D6914"/>
    <w:rsid w:val="001E31CD"/>
    <w:rsid w:val="001E7BA0"/>
    <w:rsid w:val="001F053C"/>
    <w:rsid w:val="001F51D8"/>
    <w:rsid w:val="001F58D7"/>
    <w:rsid w:val="001F5F7A"/>
    <w:rsid w:val="001F7823"/>
    <w:rsid w:val="00211356"/>
    <w:rsid w:val="00213E30"/>
    <w:rsid w:val="0021713F"/>
    <w:rsid w:val="00241EFC"/>
    <w:rsid w:val="002422A9"/>
    <w:rsid w:val="00244008"/>
    <w:rsid w:val="00244E24"/>
    <w:rsid w:val="00254273"/>
    <w:rsid w:val="0025576E"/>
    <w:rsid w:val="0025665C"/>
    <w:rsid w:val="00261017"/>
    <w:rsid w:val="00263FB7"/>
    <w:rsid w:val="00271399"/>
    <w:rsid w:val="00273EFE"/>
    <w:rsid w:val="0027409B"/>
    <w:rsid w:val="00283F3F"/>
    <w:rsid w:val="0029519B"/>
    <w:rsid w:val="002A087D"/>
    <w:rsid w:val="002A33FF"/>
    <w:rsid w:val="002B43E7"/>
    <w:rsid w:val="002C3A13"/>
    <w:rsid w:val="002E2247"/>
    <w:rsid w:val="002E598A"/>
    <w:rsid w:val="002E7C6D"/>
    <w:rsid w:val="002F0789"/>
    <w:rsid w:val="002F1138"/>
    <w:rsid w:val="002F17F4"/>
    <w:rsid w:val="002F308B"/>
    <w:rsid w:val="00336B41"/>
    <w:rsid w:val="00344366"/>
    <w:rsid w:val="00347F2F"/>
    <w:rsid w:val="003545CB"/>
    <w:rsid w:val="00363B04"/>
    <w:rsid w:val="00365368"/>
    <w:rsid w:val="00366DC4"/>
    <w:rsid w:val="00372E48"/>
    <w:rsid w:val="00377677"/>
    <w:rsid w:val="003A056B"/>
    <w:rsid w:val="003A280E"/>
    <w:rsid w:val="003A31FD"/>
    <w:rsid w:val="003A39C1"/>
    <w:rsid w:val="003A70B3"/>
    <w:rsid w:val="003B69B4"/>
    <w:rsid w:val="003B7A09"/>
    <w:rsid w:val="003B7DDB"/>
    <w:rsid w:val="003C7B47"/>
    <w:rsid w:val="003C7EE5"/>
    <w:rsid w:val="003F0C1F"/>
    <w:rsid w:val="003F718A"/>
    <w:rsid w:val="003F79B6"/>
    <w:rsid w:val="0040636E"/>
    <w:rsid w:val="004106E8"/>
    <w:rsid w:val="00416C9A"/>
    <w:rsid w:val="004410A8"/>
    <w:rsid w:val="00450551"/>
    <w:rsid w:val="004650E3"/>
    <w:rsid w:val="00476181"/>
    <w:rsid w:val="00482CF7"/>
    <w:rsid w:val="00485454"/>
    <w:rsid w:val="0048644A"/>
    <w:rsid w:val="00487FC6"/>
    <w:rsid w:val="00497A89"/>
    <w:rsid w:val="004B0673"/>
    <w:rsid w:val="004C708F"/>
    <w:rsid w:val="004D6E5B"/>
    <w:rsid w:val="00504727"/>
    <w:rsid w:val="00520E8F"/>
    <w:rsid w:val="00526FA3"/>
    <w:rsid w:val="00541C90"/>
    <w:rsid w:val="0054614F"/>
    <w:rsid w:val="00561BB0"/>
    <w:rsid w:val="00573E47"/>
    <w:rsid w:val="0058115A"/>
    <w:rsid w:val="00597CA3"/>
    <w:rsid w:val="005A7359"/>
    <w:rsid w:val="005B0BB9"/>
    <w:rsid w:val="005B6FC1"/>
    <w:rsid w:val="005C2792"/>
    <w:rsid w:val="005E71E3"/>
    <w:rsid w:val="005F03FE"/>
    <w:rsid w:val="00601655"/>
    <w:rsid w:val="0060663F"/>
    <w:rsid w:val="00621CA9"/>
    <w:rsid w:val="00621FC5"/>
    <w:rsid w:val="006413DA"/>
    <w:rsid w:val="00643C01"/>
    <w:rsid w:val="00646A2A"/>
    <w:rsid w:val="0065286A"/>
    <w:rsid w:val="00657FC3"/>
    <w:rsid w:val="00663D2C"/>
    <w:rsid w:val="00675A60"/>
    <w:rsid w:val="006C0F8C"/>
    <w:rsid w:val="00712F16"/>
    <w:rsid w:val="007139D2"/>
    <w:rsid w:val="00716DB4"/>
    <w:rsid w:val="007173AC"/>
    <w:rsid w:val="007207B8"/>
    <w:rsid w:val="0072764B"/>
    <w:rsid w:val="00732B56"/>
    <w:rsid w:val="00762DCD"/>
    <w:rsid w:val="007763CA"/>
    <w:rsid w:val="00781D6C"/>
    <w:rsid w:val="007A561A"/>
    <w:rsid w:val="007C22F3"/>
    <w:rsid w:val="007E226C"/>
    <w:rsid w:val="007E644A"/>
    <w:rsid w:val="007E6C4A"/>
    <w:rsid w:val="007F18E8"/>
    <w:rsid w:val="00800087"/>
    <w:rsid w:val="00805602"/>
    <w:rsid w:val="00810E68"/>
    <w:rsid w:val="00822307"/>
    <w:rsid w:val="00822F44"/>
    <w:rsid w:val="008230EC"/>
    <w:rsid w:val="0082640E"/>
    <w:rsid w:val="008358C8"/>
    <w:rsid w:val="008420E3"/>
    <w:rsid w:val="0085760B"/>
    <w:rsid w:val="00862A22"/>
    <w:rsid w:val="00873FA6"/>
    <w:rsid w:val="00880CD1"/>
    <w:rsid w:val="00883F06"/>
    <w:rsid w:val="00891A54"/>
    <w:rsid w:val="008A1272"/>
    <w:rsid w:val="008A2BF7"/>
    <w:rsid w:val="008A4381"/>
    <w:rsid w:val="008A5CED"/>
    <w:rsid w:val="008A7059"/>
    <w:rsid w:val="008C42C3"/>
    <w:rsid w:val="008E23F1"/>
    <w:rsid w:val="008E57AE"/>
    <w:rsid w:val="008F0623"/>
    <w:rsid w:val="009015B3"/>
    <w:rsid w:val="0093076B"/>
    <w:rsid w:val="00933E1B"/>
    <w:rsid w:val="0093676F"/>
    <w:rsid w:val="00966585"/>
    <w:rsid w:val="00973E73"/>
    <w:rsid w:val="00974783"/>
    <w:rsid w:val="00983F42"/>
    <w:rsid w:val="00986D81"/>
    <w:rsid w:val="00987B31"/>
    <w:rsid w:val="0099309C"/>
    <w:rsid w:val="009945BE"/>
    <w:rsid w:val="009A28EE"/>
    <w:rsid w:val="009B0D42"/>
    <w:rsid w:val="009B41BD"/>
    <w:rsid w:val="009B571F"/>
    <w:rsid w:val="009B5BCF"/>
    <w:rsid w:val="009C30F0"/>
    <w:rsid w:val="009C3CE9"/>
    <w:rsid w:val="009C601C"/>
    <w:rsid w:val="009D1BA6"/>
    <w:rsid w:val="009F7CD5"/>
    <w:rsid w:val="00A00403"/>
    <w:rsid w:val="00A2051B"/>
    <w:rsid w:val="00A23407"/>
    <w:rsid w:val="00A30AEF"/>
    <w:rsid w:val="00A3339F"/>
    <w:rsid w:val="00A43195"/>
    <w:rsid w:val="00A6089B"/>
    <w:rsid w:val="00A858DF"/>
    <w:rsid w:val="00A92F67"/>
    <w:rsid w:val="00A96E3F"/>
    <w:rsid w:val="00AA50AD"/>
    <w:rsid w:val="00AB6768"/>
    <w:rsid w:val="00AF2C95"/>
    <w:rsid w:val="00AF61B3"/>
    <w:rsid w:val="00B004DF"/>
    <w:rsid w:val="00B06D18"/>
    <w:rsid w:val="00B22937"/>
    <w:rsid w:val="00B238C3"/>
    <w:rsid w:val="00B4319D"/>
    <w:rsid w:val="00B4745D"/>
    <w:rsid w:val="00B50681"/>
    <w:rsid w:val="00B62841"/>
    <w:rsid w:val="00B641C9"/>
    <w:rsid w:val="00B70FBD"/>
    <w:rsid w:val="00B87AB2"/>
    <w:rsid w:val="00BA30CB"/>
    <w:rsid w:val="00BB7ECE"/>
    <w:rsid w:val="00BC72FF"/>
    <w:rsid w:val="00BD231A"/>
    <w:rsid w:val="00BD4433"/>
    <w:rsid w:val="00BE6464"/>
    <w:rsid w:val="00BF18E2"/>
    <w:rsid w:val="00BF2E1C"/>
    <w:rsid w:val="00C1010C"/>
    <w:rsid w:val="00C10A77"/>
    <w:rsid w:val="00C13E54"/>
    <w:rsid w:val="00C150A9"/>
    <w:rsid w:val="00C15EB7"/>
    <w:rsid w:val="00C27E69"/>
    <w:rsid w:val="00C55811"/>
    <w:rsid w:val="00C56A82"/>
    <w:rsid w:val="00C575B9"/>
    <w:rsid w:val="00C64DB6"/>
    <w:rsid w:val="00C730DF"/>
    <w:rsid w:val="00C832BC"/>
    <w:rsid w:val="00C847E4"/>
    <w:rsid w:val="00CC50DE"/>
    <w:rsid w:val="00CD1FB5"/>
    <w:rsid w:val="00CE2440"/>
    <w:rsid w:val="00CE3D8C"/>
    <w:rsid w:val="00CE7AB8"/>
    <w:rsid w:val="00CF1727"/>
    <w:rsid w:val="00CF3389"/>
    <w:rsid w:val="00D05F89"/>
    <w:rsid w:val="00D31B19"/>
    <w:rsid w:val="00D34C3D"/>
    <w:rsid w:val="00D35226"/>
    <w:rsid w:val="00D37D6A"/>
    <w:rsid w:val="00D45239"/>
    <w:rsid w:val="00D637E4"/>
    <w:rsid w:val="00D66777"/>
    <w:rsid w:val="00D71B29"/>
    <w:rsid w:val="00D91323"/>
    <w:rsid w:val="00D97C80"/>
    <w:rsid w:val="00DA3AD0"/>
    <w:rsid w:val="00DA4A27"/>
    <w:rsid w:val="00DA7E9E"/>
    <w:rsid w:val="00DB2514"/>
    <w:rsid w:val="00DE0B54"/>
    <w:rsid w:val="00DE137B"/>
    <w:rsid w:val="00DE21C9"/>
    <w:rsid w:val="00DF3090"/>
    <w:rsid w:val="00E014EA"/>
    <w:rsid w:val="00E0228A"/>
    <w:rsid w:val="00E0722C"/>
    <w:rsid w:val="00E07E58"/>
    <w:rsid w:val="00E32604"/>
    <w:rsid w:val="00E42F79"/>
    <w:rsid w:val="00E572AF"/>
    <w:rsid w:val="00E65371"/>
    <w:rsid w:val="00E84B2A"/>
    <w:rsid w:val="00EB0CAF"/>
    <w:rsid w:val="00EB133C"/>
    <w:rsid w:val="00EC6370"/>
    <w:rsid w:val="00ED57B3"/>
    <w:rsid w:val="00ED6783"/>
    <w:rsid w:val="00EF09CB"/>
    <w:rsid w:val="00EF273E"/>
    <w:rsid w:val="00F0430F"/>
    <w:rsid w:val="00F27F9B"/>
    <w:rsid w:val="00F336FB"/>
    <w:rsid w:val="00F77752"/>
    <w:rsid w:val="00F932D3"/>
    <w:rsid w:val="00FA135D"/>
    <w:rsid w:val="00FA1ECA"/>
    <w:rsid w:val="00FA1FB2"/>
    <w:rsid w:val="00FA43F5"/>
    <w:rsid w:val="00FA52DE"/>
    <w:rsid w:val="00FB2495"/>
    <w:rsid w:val="00FC358D"/>
    <w:rsid w:val="00FC50BB"/>
    <w:rsid w:val="00FD19F8"/>
    <w:rsid w:val="00FE6F18"/>
    <w:rsid w:val="00FF13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33C77EC"/>
  <w15:chartTrackingRefBased/>
  <w15:docId w15:val="{2BB1C77A-9B4B-42D1-A246-3F15230D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27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4273"/>
    <w:pPr>
      <w:ind w:left="708"/>
    </w:pPr>
  </w:style>
  <w:style w:type="character" w:styleId="Marquedecommentaire">
    <w:name w:val="annotation reference"/>
    <w:basedOn w:val="Policepardfaut"/>
    <w:semiHidden/>
    <w:rsid w:val="00254273"/>
    <w:rPr>
      <w:sz w:val="16"/>
      <w:szCs w:val="16"/>
    </w:rPr>
  </w:style>
  <w:style w:type="paragraph" w:styleId="Commentaire">
    <w:name w:val="annotation text"/>
    <w:basedOn w:val="Normal"/>
    <w:link w:val="CommentaireCar"/>
    <w:semiHidden/>
    <w:rsid w:val="00254273"/>
    <w:rPr>
      <w:sz w:val="20"/>
      <w:szCs w:val="20"/>
    </w:rPr>
  </w:style>
  <w:style w:type="character" w:customStyle="1" w:styleId="CommentaireCar">
    <w:name w:val="Commentaire Car"/>
    <w:basedOn w:val="Policepardfaut"/>
    <w:link w:val="Commentaire"/>
    <w:semiHidden/>
    <w:rsid w:val="00254273"/>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25427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4273"/>
    <w:rPr>
      <w:rFonts w:ascii="Segoe UI" w:eastAsia="Times New Roman" w:hAnsi="Segoe UI" w:cs="Segoe UI"/>
      <w:sz w:val="18"/>
      <w:szCs w:val="18"/>
      <w:lang w:eastAsia="fr-FR"/>
    </w:rPr>
  </w:style>
  <w:style w:type="paragraph" w:styleId="NormalWeb">
    <w:name w:val="Normal (Web)"/>
    <w:basedOn w:val="Normal"/>
    <w:uiPriority w:val="99"/>
    <w:unhideWhenUsed/>
    <w:rsid w:val="00BB7ECE"/>
    <w:pPr>
      <w:spacing w:before="100" w:beforeAutospacing="1" w:after="100" w:afterAutospacing="1"/>
    </w:pPr>
  </w:style>
  <w:style w:type="paragraph" w:styleId="Objetducommentaire">
    <w:name w:val="annotation subject"/>
    <w:basedOn w:val="Commentaire"/>
    <w:next w:val="Commentaire"/>
    <w:link w:val="ObjetducommentaireCar"/>
    <w:uiPriority w:val="99"/>
    <w:semiHidden/>
    <w:unhideWhenUsed/>
    <w:rsid w:val="006C0F8C"/>
    <w:rPr>
      <w:b/>
      <w:bCs/>
    </w:rPr>
  </w:style>
  <w:style w:type="character" w:customStyle="1" w:styleId="ObjetducommentaireCar">
    <w:name w:val="Objet du commentaire Car"/>
    <w:basedOn w:val="CommentaireCar"/>
    <w:link w:val="Objetducommentaire"/>
    <w:uiPriority w:val="99"/>
    <w:semiHidden/>
    <w:rsid w:val="006C0F8C"/>
    <w:rPr>
      <w:rFonts w:ascii="Times New Roman" w:eastAsia="Times New Roman" w:hAnsi="Times New Roman" w:cs="Times New Roman"/>
      <w:b/>
      <w:bCs/>
      <w:sz w:val="20"/>
      <w:szCs w:val="20"/>
      <w:lang w:eastAsia="fr-FR"/>
    </w:rPr>
  </w:style>
  <w:style w:type="paragraph" w:styleId="En-tte">
    <w:name w:val="header"/>
    <w:basedOn w:val="Normal"/>
    <w:link w:val="En-tteCar"/>
    <w:uiPriority w:val="99"/>
    <w:unhideWhenUsed/>
    <w:rsid w:val="00193916"/>
    <w:pPr>
      <w:tabs>
        <w:tab w:val="center" w:pos="4536"/>
        <w:tab w:val="right" w:pos="9072"/>
      </w:tabs>
    </w:pPr>
  </w:style>
  <w:style w:type="character" w:customStyle="1" w:styleId="En-tteCar">
    <w:name w:val="En-tête Car"/>
    <w:basedOn w:val="Policepardfaut"/>
    <w:link w:val="En-tte"/>
    <w:uiPriority w:val="99"/>
    <w:rsid w:val="00193916"/>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93916"/>
    <w:pPr>
      <w:tabs>
        <w:tab w:val="center" w:pos="4536"/>
        <w:tab w:val="right" w:pos="9072"/>
      </w:tabs>
    </w:pPr>
  </w:style>
  <w:style w:type="character" w:customStyle="1" w:styleId="PieddepageCar">
    <w:name w:val="Pied de page Car"/>
    <w:basedOn w:val="Policepardfaut"/>
    <w:link w:val="Pieddepage"/>
    <w:uiPriority w:val="99"/>
    <w:rsid w:val="00193916"/>
    <w:rPr>
      <w:rFonts w:ascii="Times New Roman" w:eastAsia="Times New Roman" w:hAnsi="Times New Roman" w:cs="Times New Roman"/>
      <w:sz w:val="24"/>
      <w:szCs w:val="24"/>
      <w:lang w:eastAsia="fr-FR"/>
    </w:rPr>
  </w:style>
  <w:style w:type="character" w:styleId="lev">
    <w:name w:val="Strong"/>
    <w:basedOn w:val="Policepardfaut"/>
    <w:uiPriority w:val="22"/>
    <w:qFormat/>
    <w:rsid w:val="0014660A"/>
    <w:rPr>
      <w:b/>
      <w:bCs/>
    </w:rPr>
  </w:style>
  <w:style w:type="table" w:styleId="Grilledutableau">
    <w:name w:val="Table Grid"/>
    <w:basedOn w:val="TableauNormal"/>
    <w:uiPriority w:val="39"/>
    <w:rsid w:val="002C3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039230">
      <w:bodyDiv w:val="1"/>
      <w:marLeft w:val="0"/>
      <w:marRight w:val="0"/>
      <w:marTop w:val="0"/>
      <w:marBottom w:val="0"/>
      <w:divBdr>
        <w:top w:val="none" w:sz="0" w:space="0" w:color="auto"/>
        <w:left w:val="none" w:sz="0" w:space="0" w:color="auto"/>
        <w:bottom w:val="none" w:sz="0" w:space="0" w:color="auto"/>
        <w:right w:val="none" w:sz="0" w:space="0" w:color="auto"/>
      </w:divBdr>
    </w:div>
    <w:div w:id="1171676985">
      <w:bodyDiv w:val="1"/>
      <w:marLeft w:val="0"/>
      <w:marRight w:val="0"/>
      <w:marTop w:val="0"/>
      <w:marBottom w:val="0"/>
      <w:divBdr>
        <w:top w:val="none" w:sz="0" w:space="0" w:color="auto"/>
        <w:left w:val="none" w:sz="0" w:space="0" w:color="auto"/>
        <w:bottom w:val="none" w:sz="0" w:space="0" w:color="auto"/>
        <w:right w:val="none" w:sz="0" w:space="0" w:color="auto"/>
      </w:divBdr>
    </w:div>
    <w:div w:id="1257983178">
      <w:bodyDiv w:val="1"/>
      <w:marLeft w:val="0"/>
      <w:marRight w:val="0"/>
      <w:marTop w:val="0"/>
      <w:marBottom w:val="0"/>
      <w:divBdr>
        <w:top w:val="none" w:sz="0" w:space="0" w:color="auto"/>
        <w:left w:val="none" w:sz="0" w:space="0" w:color="auto"/>
        <w:bottom w:val="none" w:sz="0" w:space="0" w:color="auto"/>
        <w:right w:val="none" w:sz="0" w:space="0" w:color="auto"/>
      </w:divBdr>
    </w:div>
    <w:div w:id="1781684680">
      <w:bodyDiv w:val="1"/>
      <w:marLeft w:val="0"/>
      <w:marRight w:val="0"/>
      <w:marTop w:val="0"/>
      <w:marBottom w:val="0"/>
      <w:divBdr>
        <w:top w:val="none" w:sz="0" w:space="0" w:color="auto"/>
        <w:left w:val="none" w:sz="0" w:space="0" w:color="auto"/>
        <w:bottom w:val="none" w:sz="0" w:space="0" w:color="auto"/>
        <w:right w:val="none" w:sz="0" w:space="0" w:color="auto"/>
      </w:divBdr>
    </w:div>
    <w:div w:id="1900356742">
      <w:bodyDiv w:val="1"/>
      <w:marLeft w:val="0"/>
      <w:marRight w:val="0"/>
      <w:marTop w:val="0"/>
      <w:marBottom w:val="0"/>
      <w:divBdr>
        <w:top w:val="none" w:sz="0" w:space="0" w:color="auto"/>
        <w:left w:val="none" w:sz="0" w:space="0" w:color="auto"/>
        <w:bottom w:val="none" w:sz="0" w:space="0" w:color="auto"/>
        <w:right w:val="none" w:sz="0" w:space="0" w:color="auto"/>
      </w:divBdr>
    </w:div>
    <w:div w:id="1972129830">
      <w:bodyDiv w:val="1"/>
      <w:marLeft w:val="0"/>
      <w:marRight w:val="0"/>
      <w:marTop w:val="0"/>
      <w:marBottom w:val="0"/>
      <w:divBdr>
        <w:top w:val="none" w:sz="0" w:space="0" w:color="auto"/>
        <w:left w:val="none" w:sz="0" w:space="0" w:color="auto"/>
        <w:bottom w:val="none" w:sz="0" w:space="0" w:color="auto"/>
        <w:right w:val="none" w:sz="0" w:space="0" w:color="auto"/>
      </w:divBdr>
    </w:div>
    <w:div w:id="20670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432</Words>
  <Characters>2382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CD12</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VIALA Julie</cp:lastModifiedBy>
  <cp:revision>3</cp:revision>
  <cp:lastPrinted>2026-05-26T11:45:00Z</cp:lastPrinted>
  <dcterms:created xsi:type="dcterms:W3CDTF">2026-06-25T08:22:00Z</dcterms:created>
  <dcterms:modified xsi:type="dcterms:W3CDTF">2026-06-25T08:23:00Z</dcterms:modified>
</cp:coreProperties>
</file>