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455A" w14:textId="22BC80D8"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034C33">
        <w:rPr>
          <w:rFonts w:ascii="Lato" w:eastAsia="Calibri" w:hAnsi="Lato" w:cs="Times New Roman"/>
          <w:b/>
          <w:sz w:val="20"/>
          <w:szCs w:val="20"/>
        </w:rPr>
        <w:t xml:space="preserve">DELIBERATION CA N° </w:t>
      </w:r>
      <w:r w:rsidR="00DF7868" w:rsidRPr="00034C33">
        <w:rPr>
          <w:rFonts w:ascii="Lato" w:eastAsia="Calibri" w:hAnsi="Lato" w:cs="Times New Roman"/>
          <w:b/>
          <w:sz w:val="20"/>
          <w:szCs w:val="20"/>
        </w:rPr>
        <w:t>2026-</w:t>
      </w:r>
      <w:r w:rsidR="001E678D">
        <w:rPr>
          <w:rFonts w:ascii="Lato" w:eastAsia="Calibri" w:hAnsi="Lato" w:cs="Times New Roman"/>
          <w:b/>
          <w:sz w:val="20"/>
          <w:szCs w:val="20"/>
        </w:rPr>
        <w:t>1</w:t>
      </w:r>
      <w:r w:rsidR="00575038">
        <w:rPr>
          <w:rFonts w:ascii="Lato" w:eastAsia="Calibri" w:hAnsi="Lato" w:cs="Times New Roman"/>
          <w:b/>
          <w:sz w:val="20"/>
          <w:szCs w:val="20"/>
        </w:rPr>
        <w:t>1</w:t>
      </w:r>
    </w:p>
    <w:p w14:paraId="1F6B4D89"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728A5151" w14:textId="77777777" w:rsidR="00EC35EB" w:rsidRPr="00034C33" w:rsidRDefault="00EC35EB" w:rsidP="00720DBC">
      <w:pPr>
        <w:spacing w:after="0" w:line="240" w:lineRule="auto"/>
        <w:jc w:val="both"/>
        <w:rPr>
          <w:rFonts w:ascii="Lato" w:hAnsi="Lato" w:cs="Arial"/>
          <w:sz w:val="20"/>
          <w:szCs w:val="20"/>
        </w:rPr>
      </w:pPr>
    </w:p>
    <w:p w14:paraId="25A39311" w14:textId="77777777" w:rsidR="00271656" w:rsidRPr="00034C33" w:rsidRDefault="00271656" w:rsidP="00271656">
      <w:pPr>
        <w:spacing w:after="0" w:line="240" w:lineRule="auto"/>
        <w:jc w:val="center"/>
        <w:rPr>
          <w:rFonts w:ascii="Lato" w:hAnsi="Lato"/>
          <w:b/>
          <w:sz w:val="20"/>
          <w:szCs w:val="20"/>
        </w:rPr>
      </w:pPr>
      <w:r w:rsidRPr="00034C33">
        <w:rPr>
          <w:rFonts w:ascii="Lato" w:hAnsi="Lato"/>
          <w:b/>
          <w:sz w:val="20"/>
          <w:szCs w:val="20"/>
        </w:rPr>
        <w:t xml:space="preserve">Conseil d’Administration du </w:t>
      </w:r>
      <w:r w:rsidR="00DF7868" w:rsidRPr="00034C33">
        <w:rPr>
          <w:rFonts w:ascii="Lato" w:hAnsi="Lato"/>
          <w:b/>
          <w:sz w:val="20"/>
          <w:szCs w:val="20"/>
        </w:rPr>
        <w:t>09 Juin 2026</w:t>
      </w:r>
    </w:p>
    <w:p w14:paraId="35E18E16" w14:textId="77777777" w:rsidR="00271656" w:rsidRPr="00034C33" w:rsidRDefault="00271656" w:rsidP="004C1F8A">
      <w:pPr>
        <w:spacing w:after="0" w:line="240" w:lineRule="auto"/>
        <w:rPr>
          <w:rFonts w:ascii="Lato" w:hAnsi="Lato"/>
          <w:b/>
          <w:sz w:val="20"/>
          <w:szCs w:val="20"/>
        </w:rPr>
      </w:pPr>
    </w:p>
    <w:p w14:paraId="29149F6F" w14:textId="77777777" w:rsidR="00271656" w:rsidRPr="00034C33" w:rsidRDefault="00271656" w:rsidP="00271656">
      <w:pPr>
        <w:spacing w:after="0" w:line="240" w:lineRule="auto"/>
        <w:jc w:val="center"/>
        <w:rPr>
          <w:rFonts w:ascii="Lato" w:hAnsi="Lato"/>
          <w:b/>
          <w:sz w:val="20"/>
          <w:szCs w:val="20"/>
        </w:rPr>
      </w:pPr>
    </w:p>
    <w:p w14:paraId="776E203A" w14:textId="7F57CDBB" w:rsidR="00575038" w:rsidRPr="00034C33" w:rsidRDefault="00575038" w:rsidP="00575038">
      <w:pPr>
        <w:spacing w:after="0" w:line="240" w:lineRule="auto"/>
        <w:jc w:val="both"/>
        <w:rPr>
          <w:rFonts w:ascii="Lato" w:hAnsi="Lato"/>
          <w:sz w:val="20"/>
          <w:szCs w:val="20"/>
        </w:rPr>
      </w:pPr>
      <w:r w:rsidRPr="00034C33">
        <w:rPr>
          <w:rFonts w:ascii="Lato" w:hAnsi="Lato"/>
          <w:sz w:val="20"/>
          <w:szCs w:val="20"/>
        </w:rPr>
        <w:t>L’an 2026, le 09 juin à16</w:t>
      </w:r>
      <w:r w:rsidR="002D036F">
        <w:rPr>
          <w:rFonts w:ascii="Lato" w:hAnsi="Lato"/>
          <w:sz w:val="20"/>
          <w:szCs w:val="20"/>
        </w:rPr>
        <w:t xml:space="preserve"> h</w:t>
      </w:r>
      <w:r w:rsidRPr="00034C33">
        <w:rPr>
          <w:rFonts w:ascii="Lato" w:hAnsi="Lato"/>
          <w:sz w:val="20"/>
          <w:szCs w:val="20"/>
        </w:rPr>
        <w:t xml:space="preserve">, le Conseil d’Administration de l’Agence Départementale Aveyron Ingénierie, s’est réuni </w:t>
      </w:r>
      <w:r>
        <w:rPr>
          <w:rFonts w:ascii="Lato" w:hAnsi="Lato"/>
          <w:sz w:val="20"/>
          <w:szCs w:val="20"/>
        </w:rPr>
        <w:t>au Complexe Cardabelle de</w:t>
      </w:r>
      <w:r w:rsidRPr="00034C33">
        <w:rPr>
          <w:rFonts w:ascii="Lato" w:hAnsi="Lato"/>
          <w:sz w:val="20"/>
          <w:szCs w:val="20"/>
        </w:rPr>
        <w:t xml:space="preserve"> Bozouls, sous la présidence de Monsieur Arnaud VIALA, Président de l’Agence Départementale. </w:t>
      </w:r>
    </w:p>
    <w:p w14:paraId="56D7365F" w14:textId="77777777" w:rsidR="00575038" w:rsidRPr="00034C33" w:rsidRDefault="00575038" w:rsidP="00575038">
      <w:pPr>
        <w:spacing w:after="0" w:line="240" w:lineRule="auto"/>
        <w:jc w:val="both"/>
        <w:rPr>
          <w:rFonts w:ascii="Lato" w:eastAsia="Calibri" w:hAnsi="Lato" w:cs="Times New Roman"/>
          <w:sz w:val="20"/>
          <w:szCs w:val="20"/>
        </w:rPr>
      </w:pPr>
    </w:p>
    <w:p w14:paraId="194DCA88" w14:textId="77777777" w:rsidR="00575038" w:rsidRPr="00375174" w:rsidRDefault="00575038" w:rsidP="00575038">
      <w:pPr>
        <w:spacing w:after="0" w:line="240" w:lineRule="auto"/>
        <w:jc w:val="both"/>
        <w:rPr>
          <w:rFonts w:ascii="Lato" w:hAnsi="Lato" w:cs="Arial"/>
          <w:sz w:val="20"/>
          <w:szCs w:val="20"/>
        </w:rPr>
      </w:pPr>
      <w:r w:rsidRPr="00375174">
        <w:rPr>
          <w:rFonts w:ascii="Lato" w:hAnsi="Lato"/>
          <w:sz w:val="20"/>
          <w:szCs w:val="20"/>
        </w:rPr>
        <w:t xml:space="preserve">22 membres étaient présents : M. Arnaud VIALA, </w:t>
      </w:r>
      <w:r w:rsidRPr="00375174">
        <w:rPr>
          <w:rFonts w:ascii="Lato" w:hAnsi="Lato" w:cs="Arial"/>
          <w:sz w:val="20"/>
          <w:szCs w:val="20"/>
        </w:rPr>
        <w:t>Mme Annie CAZARD, Mme Virginie FIRMIN, Mme Michèle BUESSINGER, M. Christian TIEULIE, M. Serge JULIEN, M. Christophe LABORIE, Mme Christine PRESNE, Mme Francine LAFON, Mme Hélène RIVIERE, M. Jacques BARBEZANGE, M. Olivier LANTUEJOUL, Mme Magali BESSAOU, M.</w:t>
      </w:r>
      <w:r>
        <w:rPr>
          <w:rFonts w:ascii="Lato" w:hAnsi="Lato" w:cs="Arial"/>
          <w:sz w:val="20"/>
          <w:szCs w:val="20"/>
        </w:rPr>
        <w:t> </w:t>
      </w:r>
      <w:r w:rsidRPr="00375174">
        <w:rPr>
          <w:rFonts w:ascii="Lato" w:hAnsi="Lato" w:cs="Arial"/>
          <w:sz w:val="20"/>
          <w:szCs w:val="20"/>
        </w:rPr>
        <w:t>Maurice QUATTROPANI, M. Jean-Marc CALVET, M. Yves BIOULAC, M. Gérard AGRECH, M. Yves REGOURD, M.</w:t>
      </w:r>
      <w:r>
        <w:rPr>
          <w:rFonts w:ascii="Lato" w:hAnsi="Lato" w:cs="Arial"/>
          <w:sz w:val="20"/>
          <w:szCs w:val="20"/>
        </w:rPr>
        <w:t> </w:t>
      </w:r>
      <w:r w:rsidRPr="00375174">
        <w:rPr>
          <w:rFonts w:ascii="Lato" w:hAnsi="Lato" w:cs="Arial"/>
          <w:sz w:val="20"/>
          <w:szCs w:val="20"/>
        </w:rPr>
        <w:t>Patrice PHILOREAU, Mme Monique ALIES, Mme Marie-Laure CAMBOULAS, M. Jacky LACAN</w:t>
      </w:r>
      <w:r>
        <w:rPr>
          <w:rFonts w:ascii="Lato" w:hAnsi="Lato" w:cs="Arial"/>
          <w:sz w:val="20"/>
          <w:szCs w:val="20"/>
        </w:rPr>
        <w:t>.</w:t>
      </w:r>
    </w:p>
    <w:p w14:paraId="585F8C16" w14:textId="77777777" w:rsidR="00575038" w:rsidRPr="00DF7868" w:rsidRDefault="00575038" w:rsidP="00575038">
      <w:pPr>
        <w:spacing w:after="0" w:line="240" w:lineRule="auto"/>
        <w:jc w:val="both"/>
        <w:rPr>
          <w:rFonts w:ascii="Lato" w:hAnsi="Lato" w:cs="Arial"/>
          <w:sz w:val="20"/>
          <w:szCs w:val="20"/>
          <w:highlight w:val="yellow"/>
        </w:rPr>
      </w:pPr>
    </w:p>
    <w:p w14:paraId="648E092C" w14:textId="77777777" w:rsidR="00575038" w:rsidRPr="00375174" w:rsidRDefault="00575038" w:rsidP="00575038">
      <w:pPr>
        <w:spacing w:after="0" w:line="240" w:lineRule="auto"/>
        <w:jc w:val="both"/>
        <w:rPr>
          <w:rFonts w:ascii="Lato" w:hAnsi="Lato" w:cs="Arial"/>
          <w:sz w:val="20"/>
          <w:szCs w:val="20"/>
        </w:rPr>
      </w:pPr>
      <w:r w:rsidRPr="00375174">
        <w:rPr>
          <w:rFonts w:ascii="Lato" w:hAnsi="Lato" w:cs="Arial"/>
          <w:sz w:val="20"/>
          <w:szCs w:val="20"/>
        </w:rPr>
        <w:t xml:space="preserve">6 membres étaient absents et excusés : </w:t>
      </w:r>
      <w:r w:rsidRPr="00375174">
        <w:rPr>
          <w:rFonts w:ascii="Lato" w:hAnsi="Lato"/>
          <w:sz w:val="20"/>
          <w:szCs w:val="20"/>
        </w:rPr>
        <w:t xml:space="preserve">M. André AT, </w:t>
      </w:r>
      <w:r w:rsidRPr="00375174">
        <w:rPr>
          <w:rFonts w:ascii="Lato" w:hAnsi="Lato" w:cs="Arial"/>
          <w:sz w:val="20"/>
          <w:szCs w:val="20"/>
        </w:rPr>
        <w:t>Mme Gisèle RIGAL, Mme Valérie ABADIE-ROQUES, M. Jean-Pierre MASBOU, M. Jean-Pierre DRULHE, M. Jean-Luc CALMELLY</w:t>
      </w:r>
      <w:r>
        <w:rPr>
          <w:rFonts w:ascii="Lato" w:hAnsi="Lato" w:cs="Arial"/>
          <w:sz w:val="20"/>
          <w:szCs w:val="20"/>
        </w:rPr>
        <w:t>.</w:t>
      </w:r>
    </w:p>
    <w:p w14:paraId="4FB63F5F" w14:textId="77777777" w:rsidR="00D26A4B" w:rsidRDefault="00D26A4B" w:rsidP="00D26A4B">
      <w:pPr>
        <w:spacing w:after="0" w:line="240" w:lineRule="auto"/>
        <w:jc w:val="both"/>
        <w:rPr>
          <w:rFonts w:ascii="Lato" w:hAnsi="Lato" w:cs="Arial"/>
          <w:sz w:val="20"/>
          <w:szCs w:val="20"/>
        </w:rPr>
      </w:pPr>
    </w:p>
    <w:p w14:paraId="1DAA0E68" w14:textId="77777777" w:rsidR="00D37A55" w:rsidRPr="00034C33" w:rsidRDefault="00D37A55" w:rsidP="00D37A55">
      <w:pPr>
        <w:spacing w:after="0" w:line="240" w:lineRule="auto"/>
        <w:rPr>
          <w:rFonts w:ascii="Lato" w:eastAsia="Times New Roman" w:hAnsi="Lato" w:cs="Arial"/>
          <w:b/>
          <w:sz w:val="18"/>
          <w:szCs w:val="18"/>
          <w:lang w:eastAsia="fr-FR"/>
        </w:rPr>
      </w:pPr>
    </w:p>
    <w:p w14:paraId="6118D322" w14:textId="6D50105C" w:rsidR="001E678D" w:rsidRPr="00BA3248" w:rsidRDefault="00334441" w:rsidP="001E678D">
      <w:pPr>
        <w:rPr>
          <w:rFonts w:ascii="Lato" w:hAnsi="Lato" w:cs="Tahoma"/>
          <w:b/>
          <w:sz w:val="20"/>
          <w:szCs w:val="20"/>
        </w:rPr>
      </w:pPr>
      <w:r w:rsidRPr="00034C33">
        <w:rPr>
          <w:rFonts w:ascii="Lato" w:eastAsia="Times New Roman" w:hAnsi="Lato" w:cstheme="minorHAnsi"/>
          <w:b/>
          <w:sz w:val="20"/>
          <w:szCs w:val="18"/>
          <w:u w:val="single"/>
          <w:lang w:eastAsia="fr-FR"/>
        </w:rPr>
        <w:t>Objet</w:t>
      </w:r>
      <w:r w:rsidRPr="00034C33">
        <w:rPr>
          <w:rFonts w:ascii="Lato" w:eastAsia="Times New Roman" w:hAnsi="Lato" w:cstheme="minorHAnsi"/>
          <w:b/>
          <w:sz w:val="20"/>
          <w:szCs w:val="18"/>
          <w:lang w:eastAsia="fr-FR"/>
        </w:rPr>
        <w:t xml:space="preserve"> </w:t>
      </w:r>
      <w:r w:rsidRPr="00034C33">
        <w:rPr>
          <w:rFonts w:ascii="Lato" w:eastAsia="Times New Roman" w:hAnsi="Lato" w:cstheme="minorHAnsi"/>
          <w:b/>
          <w:sz w:val="18"/>
          <w:szCs w:val="18"/>
          <w:lang w:eastAsia="fr-FR"/>
        </w:rPr>
        <w:t>:</w:t>
      </w:r>
      <w:r w:rsidR="0049685F" w:rsidRPr="00034C33">
        <w:rPr>
          <w:rFonts w:ascii="Lato" w:hAnsi="Lato" w:cs="Tahoma"/>
          <w:b/>
          <w:sz w:val="20"/>
          <w:szCs w:val="20"/>
        </w:rPr>
        <w:t xml:space="preserve"> </w:t>
      </w:r>
      <w:r w:rsidR="00BA3248" w:rsidRPr="00BA3248">
        <w:rPr>
          <w:rFonts w:ascii="Lato" w:hAnsi="Lato" w:cs="Tahoma"/>
          <w:b/>
          <w:sz w:val="20"/>
          <w:szCs w:val="20"/>
        </w:rPr>
        <w:t xml:space="preserve">Evolution de l’offre de services et des modalités de financement de l’Agence </w:t>
      </w:r>
    </w:p>
    <w:p w14:paraId="592CB14C" w14:textId="02C846ED" w:rsidR="0087095B" w:rsidRPr="001D5508" w:rsidRDefault="00D26A4B" w:rsidP="001D5508">
      <w:pPr>
        <w:pStyle w:val="NormalWeb"/>
        <w:spacing w:before="0" w:beforeAutospacing="0" w:after="0" w:afterAutospacing="0"/>
        <w:jc w:val="both"/>
        <w:rPr>
          <w:rFonts w:ascii="Lato" w:hAnsi="Lato"/>
          <w:bCs/>
          <w:sz w:val="20"/>
        </w:rPr>
      </w:pPr>
      <w:r w:rsidRPr="00D26A4B">
        <w:rPr>
          <w:rFonts w:ascii="Lato" w:hAnsi="Lato"/>
          <w:b/>
          <w:sz w:val="20"/>
        </w:rPr>
        <w:t>Vu le rapport</w:t>
      </w:r>
      <w:r w:rsidRPr="00D26A4B">
        <w:rPr>
          <w:rFonts w:ascii="Lato" w:hAnsi="Lato"/>
          <w:sz w:val="20"/>
        </w:rPr>
        <w:t xml:space="preserve"> présenté par Monsieur le Président </w:t>
      </w:r>
      <w:r w:rsidR="00163160">
        <w:rPr>
          <w:rFonts w:ascii="Lato" w:hAnsi="Lato"/>
          <w:sz w:val="20"/>
        </w:rPr>
        <w:t xml:space="preserve">relatif </w:t>
      </w:r>
      <w:r w:rsidR="00163160" w:rsidRPr="001E678D">
        <w:rPr>
          <w:rFonts w:ascii="Lato" w:hAnsi="Lato"/>
          <w:sz w:val="20"/>
        </w:rPr>
        <w:t xml:space="preserve">à </w:t>
      </w:r>
      <w:r w:rsidR="00BA3248">
        <w:rPr>
          <w:rFonts w:ascii="Lato" w:hAnsi="Lato"/>
          <w:sz w:val="20"/>
        </w:rPr>
        <w:t>l’é</w:t>
      </w:r>
      <w:r w:rsidR="00BA3248" w:rsidRPr="00BA3248">
        <w:rPr>
          <w:rFonts w:ascii="Lato" w:hAnsi="Lato"/>
          <w:sz w:val="20"/>
        </w:rPr>
        <w:t xml:space="preserve">volution de l’offre de services et des modalités de </w:t>
      </w:r>
      <w:r w:rsidR="00BA3248" w:rsidRPr="001D5508">
        <w:rPr>
          <w:rFonts w:ascii="Lato" w:hAnsi="Lato"/>
          <w:bCs/>
          <w:sz w:val="20"/>
        </w:rPr>
        <w:t>financement de l’Agence</w:t>
      </w:r>
      <w:r w:rsidR="001D5508" w:rsidRPr="001D5508">
        <w:rPr>
          <w:rFonts w:ascii="Lato" w:hAnsi="Lato"/>
          <w:bCs/>
          <w:sz w:val="20"/>
        </w:rPr>
        <w:t xml:space="preserve"> et ses 4 annexes : </w:t>
      </w:r>
    </w:p>
    <w:p w14:paraId="5699C5DE" w14:textId="53F23D31" w:rsidR="001D5508" w:rsidRPr="001D5508" w:rsidRDefault="001D5508" w:rsidP="002D036F">
      <w:pPr>
        <w:pStyle w:val="NormalWeb"/>
        <w:spacing w:before="0" w:beforeAutospacing="0" w:after="0" w:afterAutospacing="0"/>
        <w:ind w:left="426" w:hanging="142"/>
        <w:jc w:val="both"/>
        <w:rPr>
          <w:rFonts w:ascii="Lato" w:hAnsi="Lato"/>
          <w:bCs/>
          <w:sz w:val="20"/>
        </w:rPr>
      </w:pPr>
      <w:r w:rsidRPr="001D5508">
        <w:rPr>
          <w:rFonts w:ascii="Lato" w:hAnsi="Lato"/>
          <w:bCs/>
          <w:sz w:val="20"/>
        </w:rPr>
        <w:t>-</w:t>
      </w:r>
      <w:r w:rsidR="002D036F">
        <w:rPr>
          <w:rFonts w:ascii="Lato" w:hAnsi="Lato"/>
          <w:bCs/>
          <w:sz w:val="20"/>
        </w:rPr>
        <w:t xml:space="preserve"> </w:t>
      </w:r>
      <w:r w:rsidRPr="001D5508">
        <w:rPr>
          <w:rFonts w:ascii="Lato" w:hAnsi="Lato"/>
          <w:bCs/>
          <w:sz w:val="20"/>
        </w:rPr>
        <w:t>Annexe 1 : Synthèse de l’offre de services d’Aveyron Ingénierie et des modalités financières d’accès</w:t>
      </w:r>
    </w:p>
    <w:p w14:paraId="6448B721" w14:textId="0F225AB8" w:rsidR="001D5508" w:rsidRPr="001D5508" w:rsidRDefault="001D5508" w:rsidP="002D036F">
      <w:pPr>
        <w:pStyle w:val="NormalWeb"/>
        <w:spacing w:before="0" w:beforeAutospacing="0" w:after="0" w:afterAutospacing="0"/>
        <w:ind w:left="426" w:hanging="142"/>
        <w:jc w:val="both"/>
        <w:rPr>
          <w:rFonts w:ascii="Lato" w:hAnsi="Lato"/>
          <w:bCs/>
          <w:sz w:val="20"/>
        </w:rPr>
      </w:pPr>
      <w:r w:rsidRPr="001D5508">
        <w:rPr>
          <w:rFonts w:ascii="Lato" w:hAnsi="Lato"/>
          <w:bCs/>
          <w:sz w:val="20"/>
        </w:rPr>
        <w:t>-</w:t>
      </w:r>
      <w:r w:rsidR="002D036F">
        <w:rPr>
          <w:rFonts w:ascii="Lato" w:hAnsi="Lato"/>
          <w:bCs/>
          <w:sz w:val="20"/>
        </w:rPr>
        <w:t xml:space="preserve"> </w:t>
      </w:r>
      <w:r w:rsidRPr="001D5508">
        <w:rPr>
          <w:rFonts w:ascii="Lato" w:hAnsi="Lato"/>
          <w:bCs/>
          <w:sz w:val="20"/>
        </w:rPr>
        <w:t>Annexe 2 : Tarifs pour l’instruction des autorisations et actes d’urbanisme relatifs à l’occupation du sol</w:t>
      </w:r>
    </w:p>
    <w:p w14:paraId="54A652E4" w14:textId="33FEF71F" w:rsidR="001D5508" w:rsidRPr="001D5508" w:rsidRDefault="001D5508" w:rsidP="002D036F">
      <w:pPr>
        <w:pStyle w:val="NormalWeb"/>
        <w:spacing w:before="0" w:beforeAutospacing="0" w:after="0" w:afterAutospacing="0"/>
        <w:ind w:left="426" w:hanging="142"/>
        <w:jc w:val="both"/>
        <w:rPr>
          <w:rFonts w:ascii="Lato" w:hAnsi="Lato"/>
          <w:bCs/>
          <w:sz w:val="20"/>
        </w:rPr>
      </w:pPr>
      <w:r w:rsidRPr="001D5508">
        <w:rPr>
          <w:rFonts w:ascii="Lato" w:hAnsi="Lato"/>
          <w:bCs/>
          <w:sz w:val="20"/>
        </w:rPr>
        <w:t>-</w:t>
      </w:r>
      <w:r w:rsidR="002D036F">
        <w:rPr>
          <w:rFonts w:ascii="Lato" w:hAnsi="Lato"/>
          <w:bCs/>
          <w:sz w:val="20"/>
        </w:rPr>
        <w:t xml:space="preserve"> </w:t>
      </w:r>
      <w:r w:rsidRPr="001D5508">
        <w:rPr>
          <w:rFonts w:ascii="Lato" w:hAnsi="Lato"/>
          <w:bCs/>
          <w:sz w:val="20"/>
        </w:rPr>
        <w:t>Annexe 3 : Tarifs pour la rédaction d’actes en la forme administrative et participations financières en matière d’ingénierie juridique</w:t>
      </w:r>
    </w:p>
    <w:p w14:paraId="6733FBCB" w14:textId="575B3587" w:rsidR="001D5508" w:rsidRDefault="001D5508" w:rsidP="002D036F">
      <w:pPr>
        <w:pStyle w:val="NormalWeb"/>
        <w:spacing w:before="0" w:beforeAutospacing="0" w:after="0" w:afterAutospacing="0"/>
        <w:ind w:left="426" w:hanging="142"/>
        <w:jc w:val="both"/>
        <w:rPr>
          <w:rFonts w:ascii="Lato" w:hAnsi="Lato"/>
          <w:bCs/>
          <w:sz w:val="20"/>
        </w:rPr>
      </w:pPr>
      <w:r w:rsidRPr="001D5508">
        <w:rPr>
          <w:rFonts w:ascii="Lato" w:hAnsi="Lato"/>
          <w:bCs/>
          <w:sz w:val="20"/>
        </w:rPr>
        <w:t>-</w:t>
      </w:r>
      <w:r w:rsidR="002D036F">
        <w:rPr>
          <w:rFonts w:ascii="Lato" w:hAnsi="Lato"/>
          <w:bCs/>
          <w:sz w:val="20"/>
        </w:rPr>
        <w:t xml:space="preserve"> </w:t>
      </w:r>
      <w:r w:rsidRPr="001D5508">
        <w:rPr>
          <w:rFonts w:ascii="Lato" w:hAnsi="Lato"/>
          <w:bCs/>
          <w:sz w:val="20"/>
        </w:rPr>
        <w:t>Annexe 4 : Cotisations pour accès à l’offre socle et participations financières pour certaines missions d’ingénierie</w:t>
      </w:r>
    </w:p>
    <w:p w14:paraId="785F04F1" w14:textId="77777777" w:rsidR="001D5508" w:rsidRPr="001D5508" w:rsidRDefault="001D5508" w:rsidP="001D5508">
      <w:pPr>
        <w:pStyle w:val="NormalWeb"/>
        <w:spacing w:before="0" w:beforeAutospacing="0" w:after="0" w:afterAutospacing="0"/>
        <w:jc w:val="both"/>
        <w:rPr>
          <w:rFonts w:ascii="Lato" w:hAnsi="Lato"/>
          <w:bCs/>
          <w:sz w:val="20"/>
        </w:rPr>
      </w:pPr>
    </w:p>
    <w:p w14:paraId="4A387DF0" w14:textId="77777777" w:rsidR="00D26A4B" w:rsidRDefault="00D26A4B" w:rsidP="00F679F9">
      <w:pPr>
        <w:pStyle w:val="NormalWeb"/>
        <w:spacing w:before="0" w:beforeAutospacing="0" w:after="0" w:afterAutospacing="0"/>
        <w:jc w:val="both"/>
        <w:rPr>
          <w:rFonts w:ascii="Lato" w:hAnsi="Lato"/>
          <w:b/>
          <w:sz w:val="20"/>
        </w:rPr>
      </w:pPr>
      <w:r w:rsidRPr="00D26A4B">
        <w:rPr>
          <w:rFonts w:ascii="Lato" w:hAnsi="Lato"/>
          <w:b/>
          <w:sz w:val="20"/>
        </w:rPr>
        <w:t>Considérant :</w:t>
      </w:r>
    </w:p>
    <w:p w14:paraId="5490A172" w14:textId="77777777" w:rsidR="00BA3248" w:rsidRDefault="00BA3248" w:rsidP="00544395">
      <w:pPr>
        <w:pStyle w:val="NormalWeb"/>
        <w:spacing w:before="0" w:beforeAutospacing="0" w:after="0" w:afterAutospacing="0"/>
        <w:jc w:val="both"/>
        <w:rPr>
          <w:rFonts w:ascii="Lato" w:hAnsi="Lato"/>
          <w:b/>
          <w:sz w:val="20"/>
        </w:rPr>
      </w:pPr>
    </w:p>
    <w:p w14:paraId="62F529C7" w14:textId="21C43E2E" w:rsidR="00BA3248" w:rsidRDefault="00BA3248" w:rsidP="002D036F">
      <w:pPr>
        <w:pStyle w:val="NormalWeb"/>
        <w:numPr>
          <w:ilvl w:val="0"/>
          <w:numId w:val="26"/>
        </w:numPr>
        <w:spacing w:before="0" w:beforeAutospacing="0" w:after="0" w:afterAutospacing="0"/>
        <w:ind w:left="426"/>
        <w:jc w:val="both"/>
        <w:rPr>
          <w:rFonts w:ascii="Lato" w:hAnsi="Lato"/>
          <w:bCs/>
          <w:sz w:val="20"/>
        </w:rPr>
      </w:pPr>
      <w:r>
        <w:rPr>
          <w:rFonts w:ascii="Lato" w:hAnsi="Lato"/>
          <w:bCs/>
          <w:sz w:val="20"/>
        </w:rPr>
        <w:t xml:space="preserve">Les objectifs : </w:t>
      </w:r>
    </w:p>
    <w:p w14:paraId="016ABD46" w14:textId="0588499D" w:rsidR="00BA3248" w:rsidRPr="00BA3248" w:rsidRDefault="00A52741" w:rsidP="002D036F">
      <w:pPr>
        <w:pStyle w:val="NormalWeb"/>
        <w:spacing w:before="0" w:beforeAutospacing="0" w:after="0" w:afterAutospacing="0"/>
        <w:ind w:left="426"/>
        <w:jc w:val="both"/>
        <w:rPr>
          <w:rFonts w:ascii="Lato" w:hAnsi="Lato"/>
          <w:bCs/>
          <w:sz w:val="20"/>
        </w:rPr>
      </w:pPr>
      <w:r>
        <w:rPr>
          <w:rFonts w:ascii="Lato" w:hAnsi="Lato"/>
          <w:bCs/>
          <w:sz w:val="20"/>
        </w:rPr>
        <w:t xml:space="preserve">. </w:t>
      </w:r>
      <w:r w:rsidR="00BA3248" w:rsidRPr="00BA3248">
        <w:rPr>
          <w:rFonts w:ascii="Lato" w:hAnsi="Lato"/>
          <w:bCs/>
          <w:sz w:val="20"/>
        </w:rPr>
        <w:t xml:space="preserve">De s’ajuster régulièrement aux enjeux auxquels font face les structures adhérentes et à leurs besoins ; </w:t>
      </w:r>
    </w:p>
    <w:p w14:paraId="4E74B08A" w14:textId="45A92C4E" w:rsidR="00BA3248" w:rsidRDefault="00A52741" w:rsidP="002D036F">
      <w:pPr>
        <w:pStyle w:val="NormalWeb"/>
        <w:spacing w:before="0" w:beforeAutospacing="0" w:after="0" w:afterAutospacing="0"/>
        <w:ind w:left="426"/>
        <w:jc w:val="both"/>
        <w:rPr>
          <w:rFonts w:ascii="Lato" w:hAnsi="Lato"/>
          <w:bCs/>
          <w:sz w:val="20"/>
        </w:rPr>
      </w:pPr>
      <w:r>
        <w:rPr>
          <w:rFonts w:ascii="Lato" w:hAnsi="Lato"/>
          <w:bCs/>
          <w:sz w:val="20"/>
        </w:rPr>
        <w:t xml:space="preserve">. </w:t>
      </w:r>
      <w:r w:rsidR="00BA3248" w:rsidRPr="00BA3248">
        <w:rPr>
          <w:rFonts w:ascii="Lato" w:hAnsi="Lato"/>
          <w:bCs/>
          <w:sz w:val="20"/>
        </w:rPr>
        <w:t>De garantir la soutenabilité financière de l’offre proposée aux adhérents et les équilibres économiques de l’Agence.</w:t>
      </w:r>
    </w:p>
    <w:p w14:paraId="226728A4" w14:textId="77777777" w:rsidR="006101B4" w:rsidRDefault="006101B4" w:rsidP="002D036F">
      <w:pPr>
        <w:pStyle w:val="NormalWeb"/>
        <w:spacing w:before="0" w:beforeAutospacing="0" w:after="0" w:afterAutospacing="0"/>
        <w:ind w:left="284"/>
        <w:jc w:val="both"/>
        <w:rPr>
          <w:rFonts w:ascii="Lato" w:hAnsi="Lato"/>
          <w:bCs/>
          <w:sz w:val="20"/>
        </w:rPr>
      </w:pPr>
    </w:p>
    <w:p w14:paraId="45EE93AE" w14:textId="7939125B" w:rsidR="006101B4" w:rsidRDefault="006101B4" w:rsidP="002D036F">
      <w:pPr>
        <w:pStyle w:val="NormalWeb"/>
        <w:numPr>
          <w:ilvl w:val="0"/>
          <w:numId w:val="25"/>
        </w:numPr>
        <w:spacing w:before="0" w:beforeAutospacing="0" w:after="0" w:afterAutospacing="0"/>
        <w:ind w:left="426"/>
        <w:jc w:val="both"/>
        <w:rPr>
          <w:rFonts w:ascii="Lato" w:hAnsi="Lato"/>
          <w:bCs/>
          <w:sz w:val="20"/>
        </w:rPr>
      </w:pPr>
      <w:r w:rsidRPr="006101B4">
        <w:rPr>
          <w:rFonts w:ascii="Lato" w:hAnsi="Lato"/>
          <w:bCs/>
          <w:sz w:val="20"/>
        </w:rPr>
        <w:t>Les principes qui ont dicté ces propositions</w:t>
      </w:r>
      <w:r>
        <w:rPr>
          <w:rFonts w:ascii="Lato" w:hAnsi="Lato"/>
          <w:bCs/>
          <w:sz w:val="20"/>
        </w:rPr>
        <w:t xml:space="preserve"> </w:t>
      </w:r>
      <w:r w:rsidRPr="006101B4">
        <w:rPr>
          <w:rFonts w:ascii="Lato" w:hAnsi="Lato"/>
          <w:bCs/>
          <w:sz w:val="20"/>
        </w:rPr>
        <w:t xml:space="preserve">: </w:t>
      </w:r>
    </w:p>
    <w:p w14:paraId="6CA46163" w14:textId="77777777" w:rsidR="006101B4" w:rsidRPr="006101B4" w:rsidRDefault="006101B4" w:rsidP="002D036F">
      <w:pPr>
        <w:pStyle w:val="NormalWeb"/>
        <w:spacing w:before="0" w:beforeAutospacing="0" w:after="0" w:afterAutospacing="0"/>
        <w:ind w:left="426"/>
        <w:jc w:val="both"/>
        <w:rPr>
          <w:rFonts w:ascii="Lato" w:hAnsi="Lato"/>
          <w:bCs/>
          <w:sz w:val="20"/>
        </w:rPr>
      </w:pPr>
      <w:r>
        <w:rPr>
          <w:rFonts w:ascii="Lato" w:hAnsi="Lato"/>
          <w:bCs/>
          <w:sz w:val="20"/>
        </w:rPr>
        <w:t xml:space="preserve">. </w:t>
      </w:r>
      <w:r w:rsidRPr="006101B4">
        <w:rPr>
          <w:rFonts w:ascii="Lato" w:hAnsi="Lato"/>
          <w:bCs/>
          <w:sz w:val="20"/>
        </w:rPr>
        <w:t xml:space="preserve">Préserver une offre de services large et accessible sur cotisation annuelle dans tous les domaines ; </w:t>
      </w:r>
    </w:p>
    <w:p w14:paraId="7938F15F" w14:textId="06157B50" w:rsidR="006101B4" w:rsidRPr="006101B4" w:rsidRDefault="006101B4" w:rsidP="002D036F">
      <w:pPr>
        <w:pStyle w:val="NormalWeb"/>
        <w:spacing w:before="0" w:beforeAutospacing="0" w:after="0" w:afterAutospacing="0"/>
        <w:ind w:left="426"/>
        <w:jc w:val="both"/>
        <w:rPr>
          <w:rFonts w:ascii="Lato" w:hAnsi="Lato"/>
          <w:bCs/>
          <w:sz w:val="20"/>
        </w:rPr>
      </w:pPr>
      <w:r>
        <w:rPr>
          <w:rFonts w:ascii="Lato" w:hAnsi="Lato"/>
          <w:bCs/>
          <w:sz w:val="20"/>
        </w:rPr>
        <w:t xml:space="preserve">. </w:t>
      </w:r>
      <w:r w:rsidRPr="006101B4">
        <w:rPr>
          <w:rFonts w:ascii="Lato" w:hAnsi="Lato"/>
          <w:bCs/>
          <w:sz w:val="20"/>
        </w:rPr>
        <w:t xml:space="preserve">Garantir notamment l’accessibilité au cœur d’intervention des agences techniques départementales : les études de faisabilité initiale des projets ; </w:t>
      </w:r>
    </w:p>
    <w:p w14:paraId="1890C49F" w14:textId="77777777" w:rsidR="006101B4" w:rsidRDefault="006101B4" w:rsidP="002D036F">
      <w:pPr>
        <w:pStyle w:val="NormalWeb"/>
        <w:spacing w:before="0" w:beforeAutospacing="0" w:after="0" w:afterAutospacing="0"/>
        <w:ind w:left="426"/>
        <w:jc w:val="both"/>
        <w:rPr>
          <w:rFonts w:ascii="Lato" w:hAnsi="Lato"/>
          <w:bCs/>
          <w:sz w:val="20"/>
        </w:rPr>
      </w:pPr>
      <w:r>
        <w:rPr>
          <w:rFonts w:ascii="Lato" w:hAnsi="Lato"/>
          <w:bCs/>
          <w:sz w:val="20"/>
        </w:rPr>
        <w:t xml:space="preserve">. </w:t>
      </w:r>
      <w:r w:rsidRPr="006101B4">
        <w:rPr>
          <w:rFonts w:ascii="Lato" w:hAnsi="Lato"/>
          <w:bCs/>
          <w:sz w:val="20"/>
        </w:rPr>
        <w:t>Sur les domaines « ressources »</w:t>
      </w:r>
      <w:r>
        <w:rPr>
          <w:rFonts w:ascii="Lato" w:hAnsi="Lato"/>
          <w:bCs/>
          <w:sz w:val="20"/>
        </w:rPr>
        <w:t xml:space="preserve">, </w:t>
      </w:r>
      <w:r w:rsidRPr="006101B4">
        <w:rPr>
          <w:rFonts w:ascii="Lato" w:hAnsi="Lato"/>
          <w:bCs/>
          <w:sz w:val="20"/>
        </w:rPr>
        <w:t>préserver l’accès sur cotisation pour la majorité des missions, mais demander une participation financière dès que l’accompagnement devient plus chronophage ou la procédure plus spécifique</w:t>
      </w:r>
      <w:r>
        <w:rPr>
          <w:rFonts w:ascii="Lato" w:hAnsi="Lato"/>
          <w:bCs/>
          <w:sz w:val="20"/>
        </w:rPr>
        <w:t> ;</w:t>
      </w:r>
    </w:p>
    <w:p w14:paraId="05D204EE" w14:textId="53D33A74" w:rsidR="006101B4" w:rsidRDefault="006101B4" w:rsidP="002D036F">
      <w:pPr>
        <w:pStyle w:val="NormalWeb"/>
        <w:spacing w:before="0" w:beforeAutospacing="0" w:after="0" w:afterAutospacing="0"/>
        <w:ind w:left="426"/>
        <w:jc w:val="both"/>
        <w:rPr>
          <w:rFonts w:ascii="Lato" w:hAnsi="Lato"/>
          <w:bCs/>
          <w:sz w:val="20"/>
        </w:rPr>
      </w:pPr>
      <w:r>
        <w:rPr>
          <w:rFonts w:ascii="Lato" w:hAnsi="Lato"/>
          <w:bCs/>
          <w:sz w:val="20"/>
        </w:rPr>
        <w:t xml:space="preserve"> </w:t>
      </w:r>
      <w:r w:rsidRPr="006101B4">
        <w:rPr>
          <w:rFonts w:ascii="Lato" w:hAnsi="Lato"/>
          <w:bCs/>
          <w:sz w:val="20"/>
        </w:rPr>
        <w:t xml:space="preserve">Se rapprocher pour le tarif/jour de référence de la moyenne des autres agences techniques départementales </w:t>
      </w:r>
    </w:p>
    <w:p w14:paraId="7BA91F49" w14:textId="6CE9906F" w:rsidR="006101B4" w:rsidRPr="006101B4" w:rsidRDefault="006101B4" w:rsidP="002D036F">
      <w:pPr>
        <w:pStyle w:val="NormalWeb"/>
        <w:numPr>
          <w:ilvl w:val="0"/>
          <w:numId w:val="23"/>
        </w:numPr>
        <w:spacing w:after="0"/>
        <w:ind w:left="426" w:hanging="426"/>
        <w:jc w:val="both"/>
        <w:rPr>
          <w:rFonts w:ascii="Lato" w:hAnsi="Lato"/>
          <w:bCs/>
          <w:sz w:val="20"/>
        </w:rPr>
      </w:pPr>
      <w:r w:rsidRPr="006101B4">
        <w:rPr>
          <w:rFonts w:ascii="Lato" w:hAnsi="Lato"/>
          <w:bCs/>
          <w:sz w:val="20"/>
        </w:rPr>
        <w:t>L’audit financier tel que présenté lors de la dernière Assemblée Générale en novembre</w:t>
      </w:r>
      <w:r>
        <w:rPr>
          <w:rFonts w:ascii="Lato" w:hAnsi="Lato"/>
          <w:bCs/>
          <w:sz w:val="20"/>
        </w:rPr>
        <w:t xml:space="preserve"> et </w:t>
      </w:r>
      <w:r w:rsidRPr="006101B4">
        <w:rPr>
          <w:rFonts w:ascii="Lato" w:hAnsi="Lato"/>
          <w:bCs/>
          <w:sz w:val="20"/>
        </w:rPr>
        <w:t>les pistes de travail présentées</w:t>
      </w:r>
      <w:r w:rsidR="00777DCE">
        <w:rPr>
          <w:rFonts w:ascii="Lato" w:hAnsi="Lato"/>
          <w:bCs/>
          <w:sz w:val="20"/>
        </w:rPr>
        <w:t xml:space="preserve"> ; </w:t>
      </w:r>
    </w:p>
    <w:p w14:paraId="386DAE2D" w14:textId="77777777" w:rsidR="00BA3248" w:rsidRDefault="00BA3248" w:rsidP="002D036F">
      <w:pPr>
        <w:pStyle w:val="NormalWeb"/>
        <w:numPr>
          <w:ilvl w:val="0"/>
          <w:numId w:val="22"/>
        </w:numPr>
        <w:spacing w:before="0" w:beforeAutospacing="0" w:after="0" w:afterAutospacing="0"/>
        <w:ind w:left="426" w:hanging="426"/>
        <w:jc w:val="both"/>
        <w:rPr>
          <w:rFonts w:ascii="Lato" w:hAnsi="Lato"/>
          <w:bCs/>
          <w:sz w:val="20"/>
        </w:rPr>
      </w:pPr>
      <w:r>
        <w:rPr>
          <w:rFonts w:ascii="Lato" w:hAnsi="Lato"/>
          <w:bCs/>
          <w:sz w:val="20"/>
        </w:rPr>
        <w:t xml:space="preserve">Les propositions faites en matière d’ajustement de l’offre de services : </w:t>
      </w:r>
    </w:p>
    <w:p w14:paraId="1C46E12D" w14:textId="3CFC6CD9" w:rsidR="00BA3248" w:rsidRDefault="00BA3248" w:rsidP="002D036F">
      <w:pPr>
        <w:pStyle w:val="NormalWeb"/>
        <w:spacing w:before="0" w:beforeAutospacing="0" w:after="0" w:afterAutospacing="0"/>
        <w:ind w:left="426"/>
        <w:jc w:val="both"/>
        <w:rPr>
          <w:rFonts w:ascii="Lato" w:hAnsi="Lato"/>
          <w:bCs/>
          <w:sz w:val="20"/>
        </w:rPr>
      </w:pPr>
      <w:r>
        <w:rPr>
          <w:rFonts w:ascii="Lato" w:hAnsi="Lato"/>
          <w:bCs/>
          <w:sz w:val="20"/>
        </w:rPr>
        <w:t xml:space="preserve">. </w:t>
      </w:r>
      <w:r w:rsidRPr="00BA3248">
        <w:rPr>
          <w:rFonts w:ascii="Lato" w:hAnsi="Lato"/>
          <w:bCs/>
          <w:sz w:val="20"/>
        </w:rPr>
        <w:t>Instruction des autorisations et actes d’urbanisme relatifs à l’occupation du sol</w:t>
      </w:r>
      <w:r>
        <w:rPr>
          <w:rFonts w:ascii="Lato" w:hAnsi="Lato"/>
          <w:bCs/>
          <w:sz w:val="20"/>
        </w:rPr>
        <w:t xml:space="preserve"> : </w:t>
      </w:r>
      <w:r w:rsidRPr="00BA3248">
        <w:rPr>
          <w:rFonts w:ascii="Lato" w:hAnsi="Lato"/>
          <w:bCs/>
          <w:sz w:val="20"/>
        </w:rPr>
        <w:t xml:space="preserve">l’adhésion à ce service englobera des permanences mensuelles sans rendez-vous du service urbanisme. </w:t>
      </w:r>
    </w:p>
    <w:p w14:paraId="2D987B5B" w14:textId="0782B5AC" w:rsidR="00BA3248" w:rsidRPr="00BA3248" w:rsidRDefault="00BA3248" w:rsidP="002D036F">
      <w:pPr>
        <w:pStyle w:val="NormalWeb"/>
        <w:spacing w:before="0" w:beforeAutospacing="0" w:after="0" w:afterAutospacing="0"/>
        <w:ind w:left="426"/>
        <w:jc w:val="both"/>
        <w:rPr>
          <w:rFonts w:ascii="Lato" w:hAnsi="Lato"/>
          <w:bCs/>
          <w:sz w:val="20"/>
        </w:rPr>
      </w:pPr>
      <w:r>
        <w:rPr>
          <w:rFonts w:ascii="Lato" w:hAnsi="Lato"/>
          <w:bCs/>
          <w:sz w:val="20"/>
        </w:rPr>
        <w:t xml:space="preserve">. </w:t>
      </w:r>
      <w:r w:rsidRPr="00BA3248">
        <w:rPr>
          <w:rFonts w:ascii="Lato" w:hAnsi="Lato"/>
          <w:bCs/>
          <w:sz w:val="20"/>
        </w:rPr>
        <w:t>Aménagement de l’espace, équipements publics et patrimoine bâti</w:t>
      </w:r>
      <w:r>
        <w:rPr>
          <w:rFonts w:ascii="Lato" w:hAnsi="Lato"/>
          <w:bCs/>
          <w:sz w:val="20"/>
        </w:rPr>
        <w:t xml:space="preserve"> : intégration de l’expérimentation </w:t>
      </w:r>
      <w:r w:rsidRPr="00BA3248">
        <w:rPr>
          <w:rFonts w:ascii="Lato" w:hAnsi="Lato"/>
          <w:bCs/>
          <w:sz w:val="20"/>
        </w:rPr>
        <w:t>en cours d’une nouvelle mission d’accompagnement pour l’inventaire et la gestion du patrimoine immobilier des collectivités locales.</w:t>
      </w:r>
    </w:p>
    <w:p w14:paraId="124D6B36" w14:textId="012870C7" w:rsidR="00BA3248" w:rsidRDefault="00BA3248" w:rsidP="002D036F">
      <w:pPr>
        <w:pStyle w:val="NormalWeb"/>
        <w:spacing w:before="0" w:beforeAutospacing="0" w:after="0" w:afterAutospacing="0"/>
        <w:ind w:left="426"/>
        <w:jc w:val="both"/>
        <w:rPr>
          <w:rFonts w:ascii="Lato" w:hAnsi="Lato"/>
          <w:bCs/>
          <w:sz w:val="20"/>
        </w:rPr>
      </w:pPr>
      <w:r>
        <w:rPr>
          <w:rFonts w:ascii="Lato" w:hAnsi="Lato"/>
          <w:bCs/>
          <w:sz w:val="20"/>
        </w:rPr>
        <w:t xml:space="preserve">. </w:t>
      </w:r>
      <w:r w:rsidRPr="00BA3248">
        <w:rPr>
          <w:rFonts w:ascii="Lato" w:hAnsi="Lato"/>
          <w:bCs/>
          <w:sz w:val="20"/>
        </w:rPr>
        <w:t>Juridique</w:t>
      </w:r>
      <w:r>
        <w:rPr>
          <w:rFonts w:ascii="Lato" w:hAnsi="Lato"/>
          <w:bCs/>
          <w:sz w:val="20"/>
        </w:rPr>
        <w:t> : intégration d’</w:t>
      </w:r>
      <w:r w:rsidRPr="00BA3248">
        <w:rPr>
          <w:rFonts w:ascii="Lato" w:hAnsi="Lato"/>
          <w:bCs/>
          <w:sz w:val="20"/>
        </w:rPr>
        <w:t>un diagnostic de situation et des propositions de régularisation juridique par domaines d’activité</w:t>
      </w:r>
    </w:p>
    <w:p w14:paraId="52B5AA31" w14:textId="4D123836" w:rsidR="001E678D" w:rsidRDefault="00BA3248" w:rsidP="002D036F">
      <w:pPr>
        <w:pStyle w:val="NormalWeb"/>
        <w:spacing w:before="0" w:beforeAutospacing="0" w:after="0" w:afterAutospacing="0"/>
        <w:ind w:left="426"/>
        <w:jc w:val="both"/>
        <w:rPr>
          <w:rFonts w:ascii="Lato" w:hAnsi="Lato" w:cs="Tahoma"/>
          <w:bCs/>
          <w:sz w:val="20"/>
          <w:szCs w:val="20"/>
        </w:rPr>
      </w:pPr>
      <w:r>
        <w:rPr>
          <w:rFonts w:ascii="Lato" w:hAnsi="Lato" w:cs="Tahoma"/>
          <w:bCs/>
          <w:sz w:val="20"/>
          <w:szCs w:val="20"/>
        </w:rPr>
        <w:t xml:space="preserve">. </w:t>
      </w:r>
      <w:r w:rsidRPr="00BA3248">
        <w:rPr>
          <w:rFonts w:ascii="Lato" w:hAnsi="Lato" w:cs="Tahoma"/>
          <w:bCs/>
          <w:sz w:val="20"/>
          <w:szCs w:val="20"/>
        </w:rPr>
        <w:t>Transversal : rencontres entre élus des collectivités adhérentes permettant d’échanger entre eux et avec l’équipe de l’Agence sur des problématiques rencontrées dans certains domaines, les questionnements soulevés, les solutions trouvées ou proposées</w:t>
      </w:r>
    </w:p>
    <w:p w14:paraId="1EF1EF79" w14:textId="77777777" w:rsidR="00742851" w:rsidRDefault="00742851" w:rsidP="002D036F">
      <w:pPr>
        <w:pStyle w:val="NormalWeb"/>
        <w:spacing w:before="0" w:beforeAutospacing="0" w:after="0" w:afterAutospacing="0"/>
        <w:ind w:left="426" w:hanging="426"/>
        <w:jc w:val="both"/>
        <w:rPr>
          <w:rFonts w:ascii="Lato" w:hAnsi="Lato" w:cs="Tahoma"/>
          <w:bCs/>
          <w:sz w:val="20"/>
          <w:szCs w:val="20"/>
        </w:rPr>
      </w:pPr>
    </w:p>
    <w:p w14:paraId="539A1426" w14:textId="077B2510" w:rsidR="001D5508" w:rsidRDefault="006101B4" w:rsidP="002D036F">
      <w:pPr>
        <w:pStyle w:val="NormalWeb"/>
        <w:spacing w:before="0" w:beforeAutospacing="0" w:after="0" w:afterAutospacing="0"/>
        <w:ind w:left="426" w:hanging="426"/>
        <w:jc w:val="both"/>
        <w:rPr>
          <w:rFonts w:ascii="Lato" w:hAnsi="Lato" w:cs="Tahoma"/>
          <w:bCs/>
          <w:sz w:val="20"/>
          <w:szCs w:val="20"/>
        </w:rPr>
      </w:pPr>
      <w:r w:rsidRPr="006101B4">
        <w:rPr>
          <w:rFonts w:ascii="Lato" w:hAnsi="Lato" w:cs="Tahoma"/>
          <w:bCs/>
          <w:sz w:val="20"/>
          <w:szCs w:val="20"/>
        </w:rPr>
        <w:t>-</w:t>
      </w:r>
      <w:r w:rsidRPr="006101B4">
        <w:rPr>
          <w:rFonts w:ascii="Lato" w:hAnsi="Lato" w:cs="Tahoma"/>
          <w:bCs/>
          <w:sz w:val="20"/>
          <w:szCs w:val="20"/>
        </w:rPr>
        <w:tab/>
        <w:t xml:space="preserve">Les propositions </w:t>
      </w:r>
      <w:bookmarkStart w:id="0" w:name="_Hlk232367224"/>
      <w:r>
        <w:rPr>
          <w:rFonts w:ascii="Lato" w:hAnsi="Lato" w:cs="Tahoma"/>
          <w:bCs/>
          <w:sz w:val="20"/>
          <w:szCs w:val="20"/>
        </w:rPr>
        <w:t>d’é</w:t>
      </w:r>
      <w:r w:rsidRPr="006101B4">
        <w:rPr>
          <w:rFonts w:ascii="Lato" w:hAnsi="Lato" w:cs="Tahoma"/>
          <w:bCs/>
          <w:sz w:val="20"/>
          <w:szCs w:val="20"/>
        </w:rPr>
        <w:t>volutions des tarifs et de participations financières</w:t>
      </w:r>
      <w:r>
        <w:rPr>
          <w:rFonts w:ascii="Lato" w:hAnsi="Lato" w:cs="Tahoma"/>
          <w:bCs/>
          <w:sz w:val="20"/>
          <w:szCs w:val="20"/>
        </w:rPr>
        <w:t xml:space="preserve"> </w:t>
      </w:r>
      <w:bookmarkEnd w:id="0"/>
      <w:r w:rsidR="001D5508">
        <w:rPr>
          <w:rFonts w:ascii="Lato" w:hAnsi="Lato" w:cs="Tahoma"/>
          <w:bCs/>
          <w:sz w:val="20"/>
          <w:szCs w:val="20"/>
        </w:rPr>
        <w:t xml:space="preserve">en matière </w:t>
      </w:r>
      <w:r w:rsidR="001D5508" w:rsidRPr="001D5508">
        <w:rPr>
          <w:rFonts w:ascii="Lato" w:hAnsi="Lato" w:cs="Tahoma"/>
          <w:bCs/>
          <w:sz w:val="20"/>
          <w:szCs w:val="20"/>
        </w:rPr>
        <w:t>d’urbanisme / instruction des demandes relatives au droit des sols</w:t>
      </w:r>
      <w:r w:rsidR="001D5508">
        <w:rPr>
          <w:rFonts w:ascii="Lato" w:hAnsi="Lato" w:cs="Tahoma"/>
          <w:bCs/>
          <w:sz w:val="20"/>
          <w:szCs w:val="20"/>
        </w:rPr>
        <w:t xml:space="preserve">, telle que détaillées en annexe 2 : </w:t>
      </w:r>
    </w:p>
    <w:p w14:paraId="1F549CD6" w14:textId="15C40F80" w:rsidR="001D5508" w:rsidRDefault="001D5508" w:rsidP="002D036F">
      <w:pPr>
        <w:pStyle w:val="NormalWeb"/>
        <w:spacing w:before="0" w:beforeAutospacing="0" w:after="0" w:afterAutospacing="0"/>
        <w:ind w:left="426" w:firstLine="141"/>
        <w:jc w:val="both"/>
        <w:rPr>
          <w:rFonts w:ascii="Lato" w:hAnsi="Lato" w:cs="Tahoma"/>
          <w:bCs/>
          <w:sz w:val="20"/>
          <w:szCs w:val="20"/>
        </w:rPr>
      </w:pPr>
      <w:r>
        <w:rPr>
          <w:rFonts w:ascii="Lato" w:hAnsi="Lato" w:cs="Tahoma"/>
          <w:bCs/>
          <w:sz w:val="20"/>
          <w:szCs w:val="20"/>
        </w:rPr>
        <w:t xml:space="preserve">. </w:t>
      </w:r>
      <w:r w:rsidR="00544395">
        <w:rPr>
          <w:rFonts w:ascii="Lato" w:hAnsi="Lato" w:cs="Tahoma"/>
          <w:bCs/>
          <w:sz w:val="20"/>
          <w:szCs w:val="20"/>
        </w:rPr>
        <w:t>E</w:t>
      </w:r>
      <w:r w:rsidRPr="001D5508">
        <w:rPr>
          <w:rFonts w:ascii="Lato" w:hAnsi="Lato" w:cs="Tahoma"/>
          <w:bCs/>
          <w:sz w:val="20"/>
          <w:szCs w:val="20"/>
        </w:rPr>
        <w:t>volution de la grille tarifaire</w:t>
      </w:r>
      <w:r>
        <w:rPr>
          <w:rFonts w:ascii="Lato" w:hAnsi="Lato" w:cs="Tahoma"/>
          <w:bCs/>
          <w:sz w:val="20"/>
          <w:szCs w:val="20"/>
        </w:rPr>
        <w:t xml:space="preserve"> par type d’acte ; </w:t>
      </w:r>
    </w:p>
    <w:p w14:paraId="49B51329" w14:textId="1064F2A6" w:rsidR="001D5508" w:rsidRDefault="001D5508" w:rsidP="002D036F">
      <w:pPr>
        <w:pStyle w:val="NormalWeb"/>
        <w:spacing w:before="0" w:beforeAutospacing="0" w:after="0" w:afterAutospacing="0"/>
        <w:ind w:left="567"/>
        <w:jc w:val="both"/>
        <w:rPr>
          <w:rFonts w:ascii="Lato" w:hAnsi="Lato" w:cs="Tahoma"/>
          <w:bCs/>
          <w:sz w:val="20"/>
          <w:szCs w:val="20"/>
        </w:rPr>
      </w:pPr>
      <w:r>
        <w:rPr>
          <w:rFonts w:ascii="Lato" w:hAnsi="Lato" w:cs="Tahoma"/>
          <w:bCs/>
          <w:sz w:val="20"/>
          <w:szCs w:val="20"/>
        </w:rPr>
        <w:t>. Accès via l’adhésion à la t</w:t>
      </w:r>
      <w:r w:rsidRPr="001D5508">
        <w:rPr>
          <w:rFonts w:ascii="Lato" w:hAnsi="Lato" w:cs="Tahoma"/>
          <w:bCs/>
          <w:sz w:val="20"/>
          <w:szCs w:val="20"/>
        </w:rPr>
        <w:t>enue de permanences mensuelles sans RDV</w:t>
      </w:r>
      <w:r>
        <w:rPr>
          <w:rFonts w:ascii="Lato" w:hAnsi="Lato" w:cs="Tahoma"/>
          <w:bCs/>
          <w:sz w:val="20"/>
          <w:szCs w:val="20"/>
        </w:rPr>
        <w:t xml:space="preserve"> ; </w:t>
      </w:r>
    </w:p>
    <w:p w14:paraId="7FF3CECC" w14:textId="01F94FC8" w:rsidR="001D5508" w:rsidRDefault="001D5508" w:rsidP="002D036F">
      <w:pPr>
        <w:pStyle w:val="NormalWeb"/>
        <w:spacing w:before="0" w:beforeAutospacing="0" w:after="0" w:afterAutospacing="0"/>
        <w:ind w:left="567"/>
        <w:jc w:val="both"/>
        <w:rPr>
          <w:rFonts w:ascii="Lato" w:hAnsi="Lato" w:cs="Tahoma"/>
          <w:bCs/>
          <w:sz w:val="20"/>
          <w:szCs w:val="20"/>
        </w:rPr>
      </w:pPr>
      <w:r>
        <w:rPr>
          <w:rFonts w:ascii="Lato" w:hAnsi="Lato" w:cs="Tahoma"/>
          <w:bCs/>
          <w:sz w:val="20"/>
          <w:szCs w:val="20"/>
        </w:rPr>
        <w:t>. A</w:t>
      </w:r>
      <w:r w:rsidRPr="001D5508">
        <w:rPr>
          <w:rFonts w:ascii="Lato" w:hAnsi="Lato" w:cs="Tahoma"/>
          <w:bCs/>
          <w:sz w:val="20"/>
          <w:szCs w:val="20"/>
        </w:rPr>
        <w:t xml:space="preserve">ccès </w:t>
      </w:r>
      <w:r>
        <w:rPr>
          <w:rFonts w:ascii="Lato" w:hAnsi="Lato" w:cs="Tahoma"/>
          <w:bCs/>
          <w:sz w:val="20"/>
          <w:szCs w:val="20"/>
        </w:rPr>
        <w:t>via l’</w:t>
      </w:r>
      <w:r w:rsidRPr="001D5508">
        <w:rPr>
          <w:rFonts w:ascii="Lato" w:hAnsi="Lato" w:cs="Tahoma"/>
          <w:bCs/>
          <w:sz w:val="20"/>
          <w:szCs w:val="20"/>
        </w:rPr>
        <w:t>adhésion à l’assistance en matière d’élaboration ou de révision des documents d’urbanisme, soit une relecture et des conseils sur la rédaction des règlements et OAP des PLUi.</w:t>
      </w:r>
    </w:p>
    <w:p w14:paraId="513C278C" w14:textId="77777777" w:rsidR="00BA3248" w:rsidRDefault="00BA3248" w:rsidP="00544395">
      <w:pPr>
        <w:pStyle w:val="NormalWeb"/>
        <w:spacing w:before="0" w:beforeAutospacing="0" w:after="0" w:afterAutospacing="0"/>
        <w:jc w:val="both"/>
        <w:rPr>
          <w:rFonts w:ascii="Lato" w:hAnsi="Lato" w:cs="Tahoma"/>
          <w:bCs/>
          <w:sz w:val="20"/>
          <w:szCs w:val="20"/>
        </w:rPr>
      </w:pPr>
    </w:p>
    <w:p w14:paraId="7A7CAEFD" w14:textId="5756DCCC" w:rsidR="001D5508" w:rsidRDefault="001D5508" w:rsidP="002D036F">
      <w:pPr>
        <w:pStyle w:val="NormalWeb"/>
        <w:numPr>
          <w:ilvl w:val="0"/>
          <w:numId w:val="22"/>
        </w:numPr>
        <w:spacing w:before="0" w:beforeAutospacing="0" w:after="0" w:afterAutospacing="0"/>
        <w:ind w:left="426"/>
        <w:jc w:val="both"/>
        <w:rPr>
          <w:rFonts w:ascii="Lato" w:hAnsi="Lato" w:cs="Tahoma"/>
          <w:bCs/>
          <w:sz w:val="20"/>
          <w:szCs w:val="20"/>
        </w:rPr>
      </w:pPr>
      <w:r w:rsidRPr="001D5508">
        <w:rPr>
          <w:rFonts w:ascii="Lato" w:hAnsi="Lato" w:cs="Tahoma"/>
          <w:bCs/>
          <w:sz w:val="20"/>
          <w:szCs w:val="20"/>
        </w:rPr>
        <w:t xml:space="preserve">Les propositions </w:t>
      </w:r>
      <w:r w:rsidR="00A52741">
        <w:rPr>
          <w:rFonts w:ascii="Lato" w:hAnsi="Lato" w:cs="Tahoma"/>
          <w:bCs/>
          <w:sz w:val="20"/>
          <w:szCs w:val="20"/>
        </w:rPr>
        <w:t>d’é</w:t>
      </w:r>
      <w:r w:rsidR="00A52741" w:rsidRPr="006101B4">
        <w:rPr>
          <w:rFonts w:ascii="Lato" w:hAnsi="Lato" w:cs="Tahoma"/>
          <w:bCs/>
          <w:sz w:val="20"/>
          <w:szCs w:val="20"/>
        </w:rPr>
        <w:t>volutions des tarifs et de</w:t>
      </w:r>
      <w:r w:rsidR="00777DCE">
        <w:rPr>
          <w:rFonts w:ascii="Lato" w:hAnsi="Lato" w:cs="Tahoma"/>
          <w:bCs/>
          <w:sz w:val="20"/>
          <w:szCs w:val="20"/>
        </w:rPr>
        <w:t>s</w:t>
      </w:r>
      <w:r w:rsidR="00A52741" w:rsidRPr="006101B4">
        <w:rPr>
          <w:rFonts w:ascii="Lato" w:hAnsi="Lato" w:cs="Tahoma"/>
          <w:bCs/>
          <w:sz w:val="20"/>
          <w:szCs w:val="20"/>
        </w:rPr>
        <w:t xml:space="preserve"> participations financières</w:t>
      </w:r>
      <w:r w:rsidRPr="001D5508">
        <w:rPr>
          <w:rFonts w:ascii="Lato" w:hAnsi="Lato" w:cs="Tahoma"/>
          <w:bCs/>
          <w:sz w:val="20"/>
          <w:szCs w:val="20"/>
        </w:rPr>
        <w:t xml:space="preserve"> en matière d’ingénierie juridique et d’assistance à la rédaction d’actes en la forme administrative</w:t>
      </w:r>
      <w:r>
        <w:rPr>
          <w:rFonts w:ascii="Lato" w:hAnsi="Lato" w:cs="Tahoma"/>
          <w:bCs/>
          <w:sz w:val="20"/>
          <w:szCs w:val="20"/>
        </w:rPr>
        <w:t xml:space="preserve">, </w:t>
      </w:r>
      <w:r w:rsidRPr="001D5508">
        <w:rPr>
          <w:rFonts w:ascii="Lato" w:hAnsi="Lato" w:cs="Tahoma"/>
          <w:bCs/>
          <w:sz w:val="20"/>
          <w:szCs w:val="20"/>
        </w:rPr>
        <w:t>telle</w:t>
      </w:r>
      <w:r w:rsidR="00A52741">
        <w:rPr>
          <w:rFonts w:ascii="Lato" w:hAnsi="Lato" w:cs="Tahoma"/>
          <w:bCs/>
          <w:sz w:val="20"/>
          <w:szCs w:val="20"/>
        </w:rPr>
        <w:t>s</w:t>
      </w:r>
      <w:r w:rsidRPr="001D5508">
        <w:rPr>
          <w:rFonts w:ascii="Lato" w:hAnsi="Lato" w:cs="Tahoma"/>
          <w:bCs/>
          <w:sz w:val="20"/>
          <w:szCs w:val="20"/>
        </w:rPr>
        <w:t xml:space="preserve"> que détaillées en annexe </w:t>
      </w:r>
      <w:r>
        <w:rPr>
          <w:rFonts w:ascii="Lato" w:hAnsi="Lato" w:cs="Tahoma"/>
          <w:bCs/>
          <w:sz w:val="20"/>
          <w:szCs w:val="20"/>
        </w:rPr>
        <w:t>3</w:t>
      </w:r>
      <w:r w:rsidRPr="001D5508">
        <w:rPr>
          <w:rFonts w:ascii="Lato" w:hAnsi="Lato" w:cs="Tahoma"/>
          <w:bCs/>
          <w:sz w:val="20"/>
          <w:szCs w:val="20"/>
        </w:rPr>
        <w:t xml:space="preserve"> :</w:t>
      </w:r>
    </w:p>
    <w:p w14:paraId="00F52F6D" w14:textId="3F777D87" w:rsidR="00273DEB" w:rsidRPr="00273DEB" w:rsidRDefault="00273DEB" w:rsidP="002D036F">
      <w:pPr>
        <w:pStyle w:val="NormalWeb"/>
        <w:spacing w:before="0" w:beforeAutospacing="0" w:after="0" w:afterAutospacing="0"/>
        <w:ind w:left="426"/>
        <w:jc w:val="both"/>
        <w:rPr>
          <w:rFonts w:ascii="Lato" w:hAnsi="Lato" w:cs="Tahoma"/>
          <w:bCs/>
          <w:sz w:val="20"/>
          <w:szCs w:val="20"/>
        </w:rPr>
      </w:pPr>
      <w:r>
        <w:rPr>
          <w:rFonts w:ascii="Lato" w:hAnsi="Lato" w:cs="Tahoma"/>
          <w:bCs/>
          <w:sz w:val="20"/>
          <w:szCs w:val="20"/>
        </w:rPr>
        <w:t xml:space="preserve">. </w:t>
      </w:r>
      <w:r w:rsidRPr="00273DEB">
        <w:rPr>
          <w:rFonts w:ascii="Lato" w:hAnsi="Lato" w:cs="Tahoma"/>
          <w:bCs/>
          <w:sz w:val="20"/>
          <w:szCs w:val="20"/>
        </w:rPr>
        <w:t>Assistance à la rédaction d’actes en la forme administrative</w:t>
      </w:r>
      <w:r w:rsidR="00A52741">
        <w:rPr>
          <w:rFonts w:ascii="Lato" w:hAnsi="Lato" w:cs="Tahoma"/>
          <w:bCs/>
          <w:sz w:val="20"/>
          <w:szCs w:val="20"/>
        </w:rPr>
        <w:t> :</w:t>
      </w:r>
      <w:r w:rsidR="00A52741" w:rsidRPr="00A52741">
        <w:rPr>
          <w:rFonts w:ascii="Lato" w:hAnsi="Lato" w:cs="Tahoma"/>
          <w:bCs/>
          <w:sz w:val="20"/>
          <w:szCs w:val="20"/>
        </w:rPr>
        <w:t xml:space="preserve"> évolution du tarif à l’acte établi à 500 € (et à 250 € pour les actes constatés in fine non réalisables)</w:t>
      </w:r>
      <w:r w:rsidR="00A52741">
        <w:rPr>
          <w:rFonts w:ascii="Lato" w:hAnsi="Lato" w:cs="Tahoma"/>
          <w:bCs/>
          <w:sz w:val="20"/>
          <w:szCs w:val="20"/>
        </w:rPr>
        <w:t xml:space="preserve"> ; </w:t>
      </w:r>
    </w:p>
    <w:p w14:paraId="59291507" w14:textId="39076E4C" w:rsidR="00273DEB" w:rsidRPr="00273DEB" w:rsidRDefault="00273DEB" w:rsidP="002D036F">
      <w:pPr>
        <w:pStyle w:val="NormalWeb"/>
        <w:spacing w:before="0" w:beforeAutospacing="0" w:after="0" w:afterAutospacing="0"/>
        <w:ind w:left="426"/>
        <w:jc w:val="both"/>
        <w:rPr>
          <w:rFonts w:ascii="Lato" w:hAnsi="Lato" w:cs="Tahoma"/>
          <w:bCs/>
          <w:sz w:val="20"/>
          <w:szCs w:val="20"/>
        </w:rPr>
      </w:pPr>
      <w:r>
        <w:rPr>
          <w:rFonts w:ascii="Lato" w:hAnsi="Lato" w:cs="Tahoma"/>
          <w:bCs/>
          <w:sz w:val="20"/>
          <w:szCs w:val="20"/>
        </w:rPr>
        <w:t xml:space="preserve">. </w:t>
      </w:r>
      <w:r w:rsidRPr="00273DEB">
        <w:rPr>
          <w:rFonts w:ascii="Lato" w:hAnsi="Lato" w:cs="Tahoma"/>
          <w:bCs/>
          <w:sz w:val="20"/>
          <w:szCs w:val="20"/>
        </w:rPr>
        <w:t>Commande publiq</w:t>
      </w:r>
      <w:r w:rsidR="00A52741">
        <w:rPr>
          <w:rFonts w:ascii="Lato" w:hAnsi="Lato" w:cs="Tahoma"/>
          <w:bCs/>
          <w:sz w:val="20"/>
          <w:szCs w:val="20"/>
        </w:rPr>
        <w:t>ue :</w:t>
      </w:r>
      <w:r w:rsidR="00A52741" w:rsidRPr="00A52741">
        <w:rPr>
          <w:rFonts w:ascii="Lato" w:hAnsi="Lato" w:cs="Tahoma"/>
          <w:bCs/>
          <w:sz w:val="20"/>
          <w:szCs w:val="20"/>
        </w:rPr>
        <w:t xml:space="preserve"> participation financière pour certaines interventions</w:t>
      </w:r>
      <w:r w:rsidR="00A52741">
        <w:rPr>
          <w:rFonts w:ascii="Lato" w:hAnsi="Lato" w:cs="Tahoma"/>
          <w:bCs/>
          <w:sz w:val="20"/>
          <w:szCs w:val="20"/>
        </w:rPr>
        <w:t xml:space="preserve"> ; </w:t>
      </w:r>
    </w:p>
    <w:p w14:paraId="1CE1C992" w14:textId="2C0293C4" w:rsidR="00A52741" w:rsidRDefault="00273DEB" w:rsidP="002D036F">
      <w:pPr>
        <w:ind w:left="426"/>
        <w:jc w:val="both"/>
        <w:rPr>
          <w:rFonts w:ascii="Lato" w:hAnsi="Lato" w:cs="Tahoma"/>
          <w:bCs/>
          <w:sz w:val="20"/>
          <w:szCs w:val="20"/>
        </w:rPr>
      </w:pPr>
      <w:r>
        <w:rPr>
          <w:rFonts w:ascii="Lato" w:hAnsi="Lato" w:cs="Tahoma"/>
          <w:bCs/>
          <w:sz w:val="20"/>
          <w:szCs w:val="20"/>
        </w:rPr>
        <w:t xml:space="preserve">. </w:t>
      </w:r>
      <w:r w:rsidRPr="00273DEB">
        <w:rPr>
          <w:rFonts w:ascii="Lato" w:hAnsi="Lato" w:cs="Tahoma"/>
          <w:bCs/>
          <w:sz w:val="20"/>
          <w:szCs w:val="20"/>
        </w:rPr>
        <w:t>Assistance juridique /études, montages et procédures diverses</w:t>
      </w:r>
      <w:r w:rsidR="00A52741">
        <w:rPr>
          <w:rFonts w:ascii="Lato" w:hAnsi="Lato" w:cs="Tahoma"/>
          <w:bCs/>
          <w:sz w:val="20"/>
          <w:szCs w:val="20"/>
        </w:rPr>
        <w:t xml:space="preserve"> : </w:t>
      </w:r>
      <w:r w:rsidR="00A52741" w:rsidRPr="00A52741">
        <w:rPr>
          <w:rFonts w:ascii="Lato" w:hAnsi="Lato" w:cs="Tahoma"/>
          <w:bCs/>
          <w:sz w:val="20"/>
          <w:szCs w:val="20"/>
        </w:rPr>
        <w:t>participation financière pour certaines études, montages ou procédures juridiques plus complexes et prenant plus de temps de travail</w:t>
      </w:r>
      <w:r w:rsidR="00A52741">
        <w:rPr>
          <w:rFonts w:ascii="Lato" w:hAnsi="Lato" w:cs="Tahoma"/>
          <w:bCs/>
          <w:sz w:val="20"/>
          <w:szCs w:val="20"/>
        </w:rPr>
        <w:t xml:space="preserve">. </w:t>
      </w:r>
    </w:p>
    <w:p w14:paraId="14AA7AFB" w14:textId="1F94433D" w:rsidR="00A52741" w:rsidRPr="00FA6195" w:rsidRDefault="00FA6195" w:rsidP="002D036F">
      <w:pPr>
        <w:pStyle w:val="Paragraphedeliste"/>
        <w:numPr>
          <w:ilvl w:val="0"/>
          <w:numId w:val="22"/>
        </w:numPr>
        <w:spacing w:after="0" w:line="240" w:lineRule="auto"/>
        <w:ind w:left="426"/>
        <w:jc w:val="both"/>
        <w:rPr>
          <w:rFonts w:ascii="Lato" w:hAnsi="Lato" w:cs="Tahoma"/>
        </w:rPr>
      </w:pPr>
      <w:r w:rsidRPr="00FA6195">
        <w:rPr>
          <w:rFonts w:ascii="Lato" w:eastAsia="Times New Roman" w:hAnsi="Lato" w:cs="Tahoma"/>
          <w:bCs/>
          <w:sz w:val="20"/>
          <w:szCs w:val="20"/>
          <w:lang w:eastAsia="fr-FR"/>
        </w:rPr>
        <w:t>Les propositions d’évolutions des cotisations et participations financières pour les missions d’ingénierie (hors urbanisme et juridique)</w:t>
      </w:r>
      <w:r>
        <w:rPr>
          <w:rFonts w:ascii="Lato" w:eastAsia="Times New Roman" w:hAnsi="Lato" w:cs="Tahoma"/>
          <w:bCs/>
          <w:sz w:val="20"/>
          <w:szCs w:val="20"/>
          <w:lang w:eastAsia="fr-FR"/>
        </w:rPr>
        <w:t xml:space="preserve">, </w:t>
      </w:r>
      <w:r w:rsidRPr="001D5508">
        <w:rPr>
          <w:rFonts w:ascii="Lato" w:hAnsi="Lato" w:cs="Tahoma"/>
          <w:bCs/>
          <w:sz w:val="20"/>
          <w:szCs w:val="20"/>
        </w:rPr>
        <w:t>telle</w:t>
      </w:r>
      <w:r>
        <w:rPr>
          <w:rFonts w:ascii="Lato" w:hAnsi="Lato" w:cs="Tahoma"/>
          <w:bCs/>
          <w:sz w:val="20"/>
          <w:szCs w:val="20"/>
        </w:rPr>
        <w:t>s</w:t>
      </w:r>
      <w:r w:rsidRPr="001D5508">
        <w:rPr>
          <w:rFonts w:ascii="Lato" w:hAnsi="Lato" w:cs="Tahoma"/>
          <w:bCs/>
          <w:sz w:val="20"/>
          <w:szCs w:val="20"/>
        </w:rPr>
        <w:t xml:space="preserve"> que détaillées en annexe </w:t>
      </w:r>
      <w:r>
        <w:rPr>
          <w:rFonts w:ascii="Lato" w:hAnsi="Lato" w:cs="Tahoma"/>
          <w:bCs/>
          <w:sz w:val="20"/>
          <w:szCs w:val="20"/>
        </w:rPr>
        <w:t xml:space="preserve">4 : </w:t>
      </w:r>
    </w:p>
    <w:p w14:paraId="3D23D42E" w14:textId="28C3EDAA" w:rsidR="00FA6195" w:rsidRPr="00FA6195" w:rsidRDefault="00FA6195" w:rsidP="002D036F">
      <w:pPr>
        <w:spacing w:after="0" w:line="240" w:lineRule="auto"/>
        <w:ind w:left="426"/>
        <w:jc w:val="both"/>
        <w:rPr>
          <w:rFonts w:ascii="Lato" w:eastAsia="Times New Roman" w:hAnsi="Lato" w:cs="Tahoma"/>
          <w:bCs/>
          <w:sz w:val="20"/>
          <w:szCs w:val="20"/>
          <w:lang w:eastAsia="fr-FR"/>
        </w:rPr>
      </w:pPr>
      <w:r w:rsidRPr="00FA6195">
        <w:rPr>
          <w:rFonts w:ascii="Lato" w:eastAsia="Times New Roman" w:hAnsi="Lato" w:cs="Tahoma"/>
          <w:bCs/>
          <w:sz w:val="20"/>
          <w:szCs w:val="20"/>
          <w:lang w:eastAsia="fr-FR"/>
        </w:rPr>
        <w:t xml:space="preserve">. Evolution du tarif jour, pour les missions donnant lieu à une participation financière en plus de la cotisation : </w:t>
      </w:r>
      <w:r w:rsidR="00544395">
        <w:rPr>
          <w:rFonts w:ascii="Lato" w:eastAsia="Times New Roman" w:hAnsi="Lato" w:cs="Tahoma"/>
          <w:bCs/>
          <w:sz w:val="20"/>
          <w:szCs w:val="20"/>
          <w:lang w:eastAsia="fr-FR"/>
        </w:rPr>
        <w:t>u</w:t>
      </w:r>
      <w:r w:rsidRPr="00FA6195">
        <w:rPr>
          <w:rFonts w:ascii="Lato" w:eastAsia="Times New Roman" w:hAnsi="Lato" w:cs="Tahoma"/>
          <w:bCs/>
          <w:sz w:val="20"/>
          <w:szCs w:val="20"/>
          <w:lang w:eastAsia="fr-FR"/>
        </w:rPr>
        <w:t xml:space="preserve">n tarif jour de 400 € s’appliquant par défaut ; </w:t>
      </w:r>
      <w:r w:rsidR="00544395">
        <w:rPr>
          <w:rFonts w:ascii="Lato" w:eastAsia="Times New Roman" w:hAnsi="Lato" w:cs="Tahoma"/>
          <w:bCs/>
          <w:sz w:val="20"/>
          <w:szCs w:val="20"/>
          <w:lang w:eastAsia="fr-FR"/>
        </w:rPr>
        <w:t>u</w:t>
      </w:r>
      <w:r w:rsidRPr="00FA6195">
        <w:rPr>
          <w:rFonts w:ascii="Lato" w:eastAsia="Times New Roman" w:hAnsi="Lato" w:cs="Tahoma"/>
          <w:bCs/>
          <w:sz w:val="20"/>
          <w:szCs w:val="20"/>
          <w:lang w:eastAsia="fr-FR"/>
        </w:rPr>
        <w:t xml:space="preserve">n tarif jour de 300 € dans le cas particulier des activités de suivi de travaux /de chantier en matière de voirie-mobilités. </w:t>
      </w:r>
    </w:p>
    <w:p w14:paraId="2A88EF4C" w14:textId="096DDC0A" w:rsidR="00A93E02" w:rsidRDefault="00A93E02" w:rsidP="002D036F">
      <w:pPr>
        <w:spacing w:after="0" w:line="240" w:lineRule="auto"/>
        <w:ind w:left="426"/>
        <w:jc w:val="both"/>
        <w:rPr>
          <w:rFonts w:ascii="Lato" w:eastAsia="Times New Roman" w:hAnsi="Lato" w:cs="Tahoma"/>
          <w:bCs/>
          <w:sz w:val="20"/>
          <w:szCs w:val="20"/>
          <w:lang w:eastAsia="fr-FR"/>
        </w:rPr>
      </w:pPr>
      <w:r>
        <w:rPr>
          <w:rFonts w:ascii="Lato" w:eastAsia="Times New Roman" w:hAnsi="Lato" w:cs="Tahoma"/>
          <w:bCs/>
          <w:sz w:val="20"/>
          <w:szCs w:val="20"/>
          <w:lang w:eastAsia="fr-FR"/>
        </w:rPr>
        <w:t xml:space="preserve">. </w:t>
      </w:r>
      <w:r w:rsidRPr="00A93E02">
        <w:rPr>
          <w:rFonts w:ascii="Lato" w:eastAsia="Times New Roman" w:hAnsi="Lato" w:cs="Tahoma"/>
          <w:bCs/>
          <w:sz w:val="20"/>
          <w:szCs w:val="20"/>
          <w:lang w:eastAsia="fr-FR"/>
        </w:rPr>
        <w:t>Pour les opérations d’aménagement, changement du curseur à partir duquel une participation financière est demandée</w:t>
      </w:r>
      <w:r>
        <w:rPr>
          <w:rFonts w:ascii="Lato" w:eastAsia="Times New Roman" w:hAnsi="Lato" w:cs="Tahoma"/>
          <w:bCs/>
          <w:sz w:val="20"/>
          <w:szCs w:val="20"/>
          <w:lang w:eastAsia="fr-FR"/>
        </w:rPr>
        <w:t xml:space="preserve"> : </w:t>
      </w:r>
      <w:r w:rsidRPr="00A93E02">
        <w:rPr>
          <w:rFonts w:ascii="Lato" w:eastAsia="Times New Roman" w:hAnsi="Lato" w:cs="Tahoma"/>
          <w:bCs/>
          <w:sz w:val="20"/>
          <w:szCs w:val="20"/>
          <w:lang w:eastAsia="fr-FR"/>
        </w:rPr>
        <w:t xml:space="preserve"> après la désignation du maître d’œuvre</w:t>
      </w:r>
      <w:r>
        <w:rPr>
          <w:rFonts w:ascii="Lato" w:eastAsia="Times New Roman" w:hAnsi="Lato" w:cs="Tahoma"/>
          <w:bCs/>
          <w:sz w:val="20"/>
          <w:szCs w:val="20"/>
          <w:lang w:eastAsia="fr-FR"/>
        </w:rPr>
        <w:t xml:space="preserve">. </w:t>
      </w:r>
    </w:p>
    <w:p w14:paraId="5A3B21FF" w14:textId="70F5FB41" w:rsidR="00A93E02" w:rsidRDefault="00A93E02" w:rsidP="002D036F">
      <w:pPr>
        <w:spacing w:after="0" w:line="240" w:lineRule="auto"/>
        <w:ind w:left="426"/>
        <w:jc w:val="both"/>
        <w:rPr>
          <w:rFonts w:ascii="Lato" w:eastAsia="Times New Roman" w:hAnsi="Lato" w:cs="Tahoma"/>
          <w:bCs/>
          <w:sz w:val="20"/>
          <w:szCs w:val="20"/>
          <w:lang w:eastAsia="fr-FR"/>
        </w:rPr>
      </w:pPr>
      <w:bookmarkStart w:id="1" w:name="_Hlk232367869"/>
      <w:r>
        <w:rPr>
          <w:rFonts w:ascii="Lato" w:eastAsia="Times New Roman" w:hAnsi="Lato" w:cs="Tahoma"/>
          <w:bCs/>
          <w:sz w:val="20"/>
          <w:szCs w:val="20"/>
          <w:lang w:eastAsia="fr-FR"/>
        </w:rPr>
        <w:t xml:space="preserve">. </w:t>
      </w:r>
      <w:r w:rsidRPr="00A93E02">
        <w:rPr>
          <w:rFonts w:ascii="Lato" w:eastAsia="Times New Roman" w:hAnsi="Lato" w:cs="Tahoma"/>
          <w:bCs/>
          <w:sz w:val="20"/>
          <w:szCs w:val="20"/>
          <w:lang w:eastAsia="fr-FR"/>
        </w:rPr>
        <w:t>Pour les accompagnements en développement territorial</w:t>
      </w:r>
      <w:bookmarkEnd w:id="1"/>
      <w:r w:rsidRPr="00A93E02">
        <w:rPr>
          <w:rFonts w:ascii="Lato" w:eastAsia="Times New Roman" w:hAnsi="Lato" w:cs="Tahoma"/>
          <w:bCs/>
          <w:sz w:val="20"/>
          <w:szCs w:val="20"/>
          <w:lang w:eastAsia="fr-FR"/>
        </w:rPr>
        <w:t>, organisation et animation, changement du curseur à partir duquel une participation financière est demandée</w:t>
      </w:r>
      <w:r>
        <w:rPr>
          <w:rFonts w:ascii="Lato" w:eastAsia="Times New Roman" w:hAnsi="Lato" w:cs="Tahoma"/>
          <w:bCs/>
          <w:sz w:val="20"/>
          <w:szCs w:val="20"/>
          <w:lang w:eastAsia="fr-FR"/>
        </w:rPr>
        <w:t xml:space="preserve"> : </w:t>
      </w:r>
      <w:r w:rsidRPr="00A93E02">
        <w:rPr>
          <w:rFonts w:ascii="Lato" w:eastAsia="Times New Roman" w:hAnsi="Lato" w:cs="Tahoma"/>
          <w:bCs/>
          <w:sz w:val="20"/>
          <w:szCs w:val="20"/>
          <w:lang w:eastAsia="fr-FR"/>
        </w:rPr>
        <w:t>à partir du 6ème jour de travail</w:t>
      </w:r>
      <w:r>
        <w:rPr>
          <w:rFonts w:ascii="Lato" w:eastAsia="Times New Roman" w:hAnsi="Lato" w:cs="Tahoma"/>
          <w:bCs/>
          <w:sz w:val="20"/>
          <w:szCs w:val="20"/>
          <w:lang w:eastAsia="fr-FR"/>
        </w:rPr>
        <w:t xml:space="preserve"> ; </w:t>
      </w:r>
    </w:p>
    <w:p w14:paraId="5EB23080" w14:textId="3A615C4B" w:rsidR="00A93E02" w:rsidRPr="00A93E02" w:rsidRDefault="00A93E02" w:rsidP="002D036F">
      <w:pPr>
        <w:spacing w:after="0" w:line="240" w:lineRule="auto"/>
        <w:ind w:left="426"/>
        <w:jc w:val="both"/>
        <w:rPr>
          <w:rFonts w:ascii="Lato" w:eastAsia="Times New Roman" w:hAnsi="Lato" w:cs="Tahoma"/>
          <w:bCs/>
          <w:sz w:val="20"/>
          <w:szCs w:val="20"/>
          <w:lang w:eastAsia="fr-FR"/>
        </w:rPr>
      </w:pPr>
      <w:r>
        <w:rPr>
          <w:rFonts w:ascii="Lato" w:eastAsia="Times New Roman" w:hAnsi="Lato" w:cs="Tahoma"/>
          <w:bCs/>
          <w:sz w:val="20"/>
          <w:szCs w:val="20"/>
          <w:lang w:eastAsia="fr-FR"/>
        </w:rPr>
        <w:t xml:space="preserve">. </w:t>
      </w:r>
      <w:r w:rsidRPr="00A93E02">
        <w:rPr>
          <w:rFonts w:ascii="Lato" w:eastAsia="Times New Roman" w:hAnsi="Lato" w:cs="Tahoma"/>
          <w:bCs/>
          <w:sz w:val="20"/>
          <w:szCs w:val="20"/>
          <w:lang w:eastAsia="fr-FR"/>
        </w:rPr>
        <w:t xml:space="preserve">Pour les accompagnements en </w:t>
      </w:r>
      <w:r>
        <w:rPr>
          <w:rFonts w:ascii="Lato" w:eastAsia="Times New Roman" w:hAnsi="Lato" w:cs="Tahoma"/>
          <w:bCs/>
          <w:sz w:val="20"/>
          <w:szCs w:val="20"/>
          <w:lang w:eastAsia="fr-FR"/>
        </w:rPr>
        <w:t>ingénierie financière</w:t>
      </w:r>
      <w:r w:rsidR="00401FD8">
        <w:rPr>
          <w:rFonts w:ascii="Lato" w:eastAsia="Times New Roman" w:hAnsi="Lato" w:cs="Tahoma"/>
          <w:bCs/>
          <w:sz w:val="20"/>
          <w:szCs w:val="20"/>
          <w:lang w:eastAsia="fr-FR"/>
        </w:rPr>
        <w:t>,</w:t>
      </w:r>
      <w:r w:rsidR="00401FD8" w:rsidRPr="00401FD8">
        <w:rPr>
          <w:rFonts w:ascii="Lato" w:eastAsia="Times New Roman" w:hAnsi="Lato" w:cs="Tahoma"/>
          <w:bCs/>
          <w:sz w:val="20"/>
          <w:szCs w:val="20"/>
          <w:lang w:eastAsia="fr-FR"/>
        </w:rPr>
        <w:t xml:space="preserve"> </w:t>
      </w:r>
      <w:r w:rsidR="00401FD8" w:rsidRPr="00A93E02">
        <w:rPr>
          <w:rFonts w:ascii="Lato" w:eastAsia="Times New Roman" w:hAnsi="Lato" w:cs="Tahoma"/>
          <w:bCs/>
          <w:sz w:val="20"/>
          <w:szCs w:val="20"/>
          <w:lang w:eastAsia="fr-FR"/>
        </w:rPr>
        <w:t>changement du curseur à partir duquel une participation financière est demandée</w:t>
      </w:r>
      <w:r w:rsidR="00401FD8">
        <w:rPr>
          <w:rFonts w:ascii="Lato" w:eastAsia="Times New Roman" w:hAnsi="Lato" w:cs="Tahoma"/>
          <w:bCs/>
          <w:sz w:val="20"/>
          <w:szCs w:val="20"/>
          <w:lang w:eastAsia="fr-FR"/>
        </w:rPr>
        <w:t> </w:t>
      </w:r>
      <w:r>
        <w:rPr>
          <w:rFonts w:ascii="Lato" w:eastAsia="Times New Roman" w:hAnsi="Lato" w:cs="Tahoma"/>
          <w:bCs/>
          <w:sz w:val="20"/>
          <w:szCs w:val="20"/>
          <w:lang w:eastAsia="fr-FR"/>
        </w:rPr>
        <w:t xml:space="preserve">: </w:t>
      </w:r>
      <w:r w:rsidRPr="00A93E02">
        <w:rPr>
          <w:rFonts w:ascii="Lato" w:eastAsia="Times New Roman" w:hAnsi="Lato" w:cs="Tahoma"/>
          <w:bCs/>
          <w:sz w:val="20"/>
          <w:szCs w:val="20"/>
          <w:lang w:eastAsia="fr-FR"/>
        </w:rPr>
        <w:t>à partir du 4ème jour de travail.</w:t>
      </w:r>
    </w:p>
    <w:p w14:paraId="0AB37C1C" w14:textId="5D1331DE" w:rsidR="00FA6195" w:rsidRPr="00544395" w:rsidRDefault="00544395" w:rsidP="002D036F">
      <w:pPr>
        <w:ind w:left="426"/>
        <w:jc w:val="both"/>
        <w:rPr>
          <w:rFonts w:ascii="Lato" w:eastAsia="Times New Roman" w:hAnsi="Lato" w:cs="Tahoma"/>
          <w:bCs/>
          <w:sz w:val="20"/>
          <w:szCs w:val="20"/>
          <w:lang w:eastAsia="fr-FR"/>
        </w:rPr>
      </w:pPr>
      <w:r>
        <w:rPr>
          <w:rFonts w:ascii="Lato" w:eastAsia="Times New Roman" w:hAnsi="Lato" w:cs="Tahoma"/>
          <w:bCs/>
          <w:sz w:val="20"/>
          <w:szCs w:val="20"/>
          <w:lang w:eastAsia="fr-FR"/>
        </w:rPr>
        <w:t xml:space="preserve">. </w:t>
      </w:r>
      <w:r w:rsidRPr="00544395">
        <w:rPr>
          <w:rFonts w:ascii="Lato" w:eastAsia="Times New Roman" w:hAnsi="Lato" w:cs="Tahoma"/>
          <w:bCs/>
          <w:sz w:val="20"/>
          <w:szCs w:val="20"/>
          <w:lang w:eastAsia="fr-FR"/>
        </w:rPr>
        <w:t>Pour certains projets spécifiques ou exceptionnels, nécessitant une mobilisation accrue des équipes tant en temps qu’en expertise, l’Agence se réserve la possibilité de demander une participation financière individualisée.</w:t>
      </w:r>
    </w:p>
    <w:p w14:paraId="707CF814" w14:textId="1CFE9CF7" w:rsidR="00273DEB" w:rsidRDefault="00273DEB" w:rsidP="00273DEB">
      <w:pPr>
        <w:pStyle w:val="NormalWeb"/>
        <w:spacing w:before="0" w:beforeAutospacing="0" w:after="0" w:afterAutospacing="0"/>
        <w:rPr>
          <w:rFonts w:ascii="Lato" w:hAnsi="Lato" w:cs="Tahoma"/>
          <w:bCs/>
          <w:sz w:val="20"/>
          <w:szCs w:val="20"/>
        </w:rPr>
      </w:pPr>
    </w:p>
    <w:p w14:paraId="3A14DAC4" w14:textId="77777777" w:rsidR="0006219B" w:rsidRDefault="0006219B" w:rsidP="00273DEB">
      <w:pPr>
        <w:pStyle w:val="NormalWeb"/>
        <w:spacing w:before="0" w:beforeAutospacing="0" w:after="0" w:afterAutospacing="0"/>
        <w:rPr>
          <w:rFonts w:ascii="Lato" w:hAnsi="Lato" w:cs="Tahoma"/>
          <w:bCs/>
          <w:sz w:val="20"/>
          <w:szCs w:val="20"/>
        </w:rPr>
      </w:pPr>
    </w:p>
    <w:p w14:paraId="631557B3" w14:textId="77777777" w:rsidR="0006219B" w:rsidRPr="001E678D" w:rsidRDefault="0006219B" w:rsidP="00273DEB">
      <w:pPr>
        <w:pStyle w:val="NormalWeb"/>
        <w:spacing w:before="0" w:beforeAutospacing="0" w:after="0" w:afterAutospacing="0"/>
        <w:rPr>
          <w:rFonts w:ascii="Lato" w:hAnsi="Lato" w:cs="Tahoma"/>
          <w:bCs/>
          <w:sz w:val="20"/>
          <w:szCs w:val="20"/>
        </w:rPr>
      </w:pPr>
    </w:p>
    <w:p w14:paraId="367F2BBA" w14:textId="1A278F5E" w:rsidR="000051D8"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14:paraId="47BD4215" w14:textId="7FD4BAD4" w:rsidR="00D26A4B" w:rsidRPr="00381766" w:rsidRDefault="00D26A4B" w:rsidP="00381766">
      <w:pPr>
        <w:tabs>
          <w:tab w:val="left" w:pos="567"/>
        </w:tabs>
        <w:spacing w:after="0" w:line="240" w:lineRule="auto"/>
        <w:contextualSpacing/>
        <w:jc w:val="center"/>
        <w:rPr>
          <w:rFonts w:ascii="Lato" w:eastAsia="Times New Roman" w:hAnsi="Lato" w:cs="Tahoma"/>
          <w:b/>
          <w:sz w:val="20"/>
          <w:szCs w:val="20"/>
          <w:lang w:eastAsia="fr-FR"/>
        </w:rPr>
      </w:pPr>
    </w:p>
    <w:p w14:paraId="429CEC5B" w14:textId="77777777" w:rsidR="000051D8" w:rsidRDefault="000051D8" w:rsidP="000051D8">
      <w:pPr>
        <w:spacing w:after="0" w:line="240" w:lineRule="auto"/>
        <w:jc w:val="both"/>
        <w:rPr>
          <w:rFonts w:ascii="Lato" w:eastAsia="Calibri" w:hAnsi="Lato" w:cs="Arial"/>
          <w:b/>
          <w:sz w:val="20"/>
          <w:szCs w:val="20"/>
          <w:u w:val="single"/>
        </w:rPr>
      </w:pPr>
      <w:r w:rsidRPr="00381766">
        <w:rPr>
          <w:rFonts w:ascii="Lato" w:eastAsia="Calibri" w:hAnsi="Lato" w:cs="Arial"/>
          <w:b/>
          <w:sz w:val="20"/>
          <w:szCs w:val="20"/>
          <w:u w:val="single"/>
        </w:rPr>
        <w:t>Le Conseil d’Administration, après en avoir délibéré :</w:t>
      </w:r>
    </w:p>
    <w:p w14:paraId="192438E6" w14:textId="77777777" w:rsidR="00D26A4B" w:rsidRDefault="00D26A4B" w:rsidP="000051D8">
      <w:pPr>
        <w:spacing w:after="0" w:line="240" w:lineRule="auto"/>
        <w:jc w:val="both"/>
        <w:rPr>
          <w:rFonts w:ascii="Lato" w:hAnsi="Lato" w:cs="Arial"/>
          <w:b/>
        </w:rPr>
      </w:pPr>
    </w:p>
    <w:p w14:paraId="690FA105" w14:textId="77777777" w:rsidR="00800FFA" w:rsidRPr="00033136" w:rsidRDefault="00800FFA" w:rsidP="00D26A4B">
      <w:pPr>
        <w:pStyle w:val="NormalWeb"/>
        <w:spacing w:before="0" w:beforeAutospacing="0" w:after="0" w:afterAutospacing="0"/>
        <w:rPr>
          <w:rFonts w:ascii="Lato" w:hAnsi="Lato" w:cs="Tahoma"/>
          <w:b/>
          <w:bCs/>
          <w:sz w:val="20"/>
          <w:szCs w:val="20"/>
        </w:rPr>
      </w:pPr>
      <w:r w:rsidRPr="00033136">
        <w:rPr>
          <w:rFonts w:ascii="Lato" w:hAnsi="Lato" w:cs="Tahoma"/>
          <w:b/>
          <w:bCs/>
          <w:sz w:val="20"/>
          <w:szCs w:val="20"/>
        </w:rPr>
        <w:t>DECIDE :</w:t>
      </w:r>
    </w:p>
    <w:p w14:paraId="1FF3B763" w14:textId="77777777" w:rsidR="00800FFA" w:rsidRDefault="00800FFA" w:rsidP="00D26A4B">
      <w:pPr>
        <w:pStyle w:val="NormalWeb"/>
        <w:spacing w:before="0" w:beforeAutospacing="0" w:after="0" w:afterAutospacing="0"/>
        <w:rPr>
          <w:rFonts w:ascii="Lato" w:hAnsi="Lato" w:cs="Tahoma"/>
          <w:sz w:val="20"/>
          <w:szCs w:val="20"/>
        </w:rPr>
      </w:pPr>
    </w:p>
    <w:p w14:paraId="4638FCFC" w14:textId="0E55E97F" w:rsidR="001E678D" w:rsidRDefault="001E678D" w:rsidP="001E678D">
      <w:pPr>
        <w:pStyle w:val="Paragraphedeliste"/>
        <w:numPr>
          <w:ilvl w:val="0"/>
          <w:numId w:val="21"/>
        </w:numPr>
        <w:spacing w:after="0" w:line="240" w:lineRule="auto"/>
        <w:jc w:val="both"/>
        <w:rPr>
          <w:rFonts w:ascii="Lato" w:eastAsia="Times New Roman" w:hAnsi="Lato" w:cs="Tahoma"/>
          <w:b/>
          <w:bCs/>
          <w:sz w:val="20"/>
          <w:szCs w:val="20"/>
          <w:lang w:eastAsia="fr-FR"/>
        </w:rPr>
      </w:pPr>
      <w:r w:rsidRPr="001E678D">
        <w:rPr>
          <w:rFonts w:ascii="Lato" w:eastAsia="Times New Roman" w:hAnsi="Lato" w:cs="Tahoma"/>
          <w:b/>
          <w:bCs/>
          <w:sz w:val="20"/>
          <w:szCs w:val="20"/>
          <w:lang w:eastAsia="fr-FR"/>
        </w:rPr>
        <w:t>D’</w:t>
      </w:r>
      <w:r w:rsidR="00544395">
        <w:rPr>
          <w:rFonts w:ascii="Lato" w:eastAsia="Times New Roman" w:hAnsi="Lato" w:cs="Tahoma"/>
          <w:b/>
          <w:bCs/>
          <w:sz w:val="20"/>
          <w:szCs w:val="20"/>
          <w:lang w:eastAsia="fr-FR"/>
        </w:rPr>
        <w:t>approuver les ajustements de l’offre de services</w:t>
      </w:r>
      <w:r w:rsidR="002D036F">
        <w:rPr>
          <w:rFonts w:ascii="Lato" w:eastAsia="Times New Roman" w:hAnsi="Lato" w:cs="Tahoma"/>
          <w:b/>
          <w:bCs/>
          <w:sz w:val="20"/>
          <w:szCs w:val="20"/>
          <w:lang w:eastAsia="fr-FR"/>
        </w:rPr>
        <w:t> ;</w:t>
      </w:r>
    </w:p>
    <w:p w14:paraId="7588FC6E" w14:textId="10EB743F" w:rsidR="00BA3248" w:rsidRPr="001E678D" w:rsidRDefault="00544395" w:rsidP="001E678D">
      <w:pPr>
        <w:pStyle w:val="Paragraphedeliste"/>
        <w:numPr>
          <w:ilvl w:val="0"/>
          <w:numId w:val="21"/>
        </w:numPr>
        <w:spacing w:after="0" w:line="240" w:lineRule="auto"/>
        <w:jc w:val="both"/>
        <w:rPr>
          <w:rFonts w:ascii="Lato" w:eastAsia="Times New Roman" w:hAnsi="Lato" w:cs="Tahoma"/>
          <w:b/>
          <w:bCs/>
          <w:sz w:val="20"/>
          <w:szCs w:val="20"/>
          <w:lang w:eastAsia="fr-FR"/>
        </w:rPr>
      </w:pPr>
      <w:r>
        <w:rPr>
          <w:rFonts w:ascii="Lato" w:eastAsia="Times New Roman" w:hAnsi="Lato" w:cs="Tahoma"/>
          <w:b/>
          <w:bCs/>
          <w:sz w:val="20"/>
          <w:szCs w:val="20"/>
          <w:lang w:eastAsia="fr-FR"/>
        </w:rPr>
        <w:t>D’approuver les évolutions de</w:t>
      </w:r>
      <w:r w:rsidR="00777DCE">
        <w:rPr>
          <w:rFonts w:ascii="Lato" w:eastAsia="Times New Roman" w:hAnsi="Lato" w:cs="Tahoma"/>
          <w:b/>
          <w:bCs/>
          <w:sz w:val="20"/>
          <w:szCs w:val="20"/>
          <w:lang w:eastAsia="fr-FR"/>
        </w:rPr>
        <w:t>s</w:t>
      </w:r>
      <w:r>
        <w:rPr>
          <w:rFonts w:ascii="Lato" w:eastAsia="Times New Roman" w:hAnsi="Lato" w:cs="Tahoma"/>
          <w:b/>
          <w:bCs/>
          <w:sz w:val="20"/>
          <w:szCs w:val="20"/>
          <w:lang w:eastAsia="fr-FR"/>
        </w:rPr>
        <w:t xml:space="preserve"> </w:t>
      </w:r>
      <w:r w:rsidR="00777DCE">
        <w:rPr>
          <w:rFonts w:ascii="Lato" w:eastAsia="Times New Roman" w:hAnsi="Lato" w:cs="Tahoma"/>
          <w:b/>
          <w:bCs/>
          <w:sz w:val="20"/>
          <w:szCs w:val="20"/>
          <w:lang w:eastAsia="fr-FR"/>
        </w:rPr>
        <w:t>modalités financières</w:t>
      </w:r>
      <w:r w:rsidR="002D036F">
        <w:rPr>
          <w:rFonts w:ascii="Lato" w:eastAsia="Times New Roman" w:hAnsi="Lato" w:cs="Tahoma"/>
          <w:b/>
          <w:bCs/>
          <w:sz w:val="20"/>
          <w:szCs w:val="20"/>
          <w:lang w:eastAsia="fr-FR"/>
        </w:rPr>
        <w:t>.</w:t>
      </w:r>
    </w:p>
    <w:p w14:paraId="0DC010AE" w14:textId="77777777" w:rsidR="001E678D" w:rsidRPr="00033136" w:rsidRDefault="001E678D" w:rsidP="001E678D">
      <w:pPr>
        <w:spacing w:after="0" w:line="240" w:lineRule="auto"/>
        <w:jc w:val="both"/>
      </w:pPr>
    </w:p>
    <w:p w14:paraId="7C5C9A85" w14:textId="6839A3EA" w:rsidR="00034C33" w:rsidRPr="00775154" w:rsidRDefault="007F2320" w:rsidP="00ED5893">
      <w:pPr>
        <w:rPr>
          <w:rFonts w:ascii="Lato" w:eastAsia="Times New Roman" w:hAnsi="Lato" w:cs="Tahoma"/>
          <w:bCs/>
          <w:sz w:val="20"/>
          <w:szCs w:val="20"/>
          <w:lang w:eastAsia="fr-FR"/>
        </w:rPr>
      </w:pPr>
      <w:r w:rsidRPr="00775154">
        <w:rPr>
          <w:rFonts w:ascii="Lato" w:eastAsia="Times New Roman" w:hAnsi="Lato" w:cs="Tahoma"/>
          <w:bCs/>
          <w:sz w:val="20"/>
          <w:szCs w:val="20"/>
          <w:lang w:eastAsia="fr-FR"/>
        </w:rPr>
        <w:t>Le Président certifie sous sa responsabilité le caractère conforme et exécutoire de cet acte </w:t>
      </w:r>
    </w:p>
    <w:p w14:paraId="3E81DA3F" w14:textId="77777777" w:rsidR="007F2320" w:rsidRDefault="008A6624" w:rsidP="000A2EB0">
      <w:pPr>
        <w:pStyle w:val="NormalWeb"/>
        <w:ind w:left="4956" w:firstLine="708"/>
        <w:jc w:val="both"/>
        <w:rPr>
          <w:rFonts w:ascii="Lato" w:hAnsi="Lato"/>
          <w:b/>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1E13E227" wp14:editId="4D48CD9C">
                <wp:simplePos x="0" y="0"/>
                <wp:positionH relativeFrom="column">
                  <wp:posOffset>66675</wp:posOffset>
                </wp:positionH>
                <wp:positionV relativeFrom="paragraph">
                  <wp:posOffset>286385</wp:posOffset>
                </wp:positionV>
                <wp:extent cx="2409825" cy="105727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057275"/>
                        </a:xfrm>
                        <a:prstGeom prst="rect">
                          <a:avLst/>
                        </a:prstGeom>
                        <a:solidFill>
                          <a:srgbClr val="FFFFFF"/>
                        </a:solidFill>
                        <a:ln w="9525">
                          <a:solidFill>
                            <a:srgbClr val="000000"/>
                          </a:solidFill>
                          <a:miter lim="800000"/>
                          <a:headEnd/>
                          <a:tailEnd/>
                        </a:ln>
                      </wps:spPr>
                      <wps:txb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7AB77FB4" w:rsidR="007F2320" w:rsidRPr="00575038" w:rsidRDefault="007F2320" w:rsidP="007F2320">
                            <w:pPr>
                              <w:spacing w:after="0" w:line="240" w:lineRule="auto"/>
                              <w:rPr>
                                <w:rFonts w:eastAsia="Calibri" w:cs="Arial"/>
                                <w:i/>
                                <w:sz w:val="20"/>
                                <w:szCs w:val="20"/>
                              </w:rPr>
                            </w:pPr>
                            <w:r w:rsidRPr="00575038">
                              <w:rPr>
                                <w:rFonts w:eastAsia="Calibri" w:cs="Arial"/>
                                <w:i/>
                                <w:sz w:val="20"/>
                                <w:szCs w:val="20"/>
                              </w:rPr>
                              <w:t>Adoptée à l’unanimité</w:t>
                            </w:r>
                          </w:p>
                          <w:p w14:paraId="210AFBFA" w14:textId="34A79CA9" w:rsidR="008A6624" w:rsidRPr="007F2320" w:rsidRDefault="008A6624" w:rsidP="007F2320">
                            <w:pPr>
                              <w:spacing w:after="0" w:line="240" w:lineRule="auto"/>
                              <w:rPr>
                                <w:rFonts w:eastAsia="Calibri" w:cs="Arial"/>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3E227" id="_x0000_t202" coordsize="21600,21600" o:spt="202" path="m,l,21600r21600,l21600,xe">
                <v:stroke joinstyle="miter"/>
                <v:path gradientshapeok="t" o:connecttype="rect"/>
              </v:shapetype>
              <v:shape id="Zone de texte 7" o:spid="_x0000_s1026" type="#_x0000_t202" style="position:absolute;left:0;text-align:left;margin-left:5.25pt;margin-top:22.55pt;width:189.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">
                <v:textbo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7AB77FB4" w:rsidR="007F2320" w:rsidRPr="00575038" w:rsidRDefault="007F2320" w:rsidP="007F2320">
                      <w:pPr>
                        <w:spacing w:after="0" w:line="240" w:lineRule="auto"/>
                        <w:rPr>
                          <w:rFonts w:eastAsia="Calibri" w:cs="Arial"/>
                          <w:i/>
                          <w:sz w:val="20"/>
                          <w:szCs w:val="20"/>
                        </w:rPr>
                      </w:pPr>
                      <w:r w:rsidRPr="00575038">
                        <w:rPr>
                          <w:rFonts w:eastAsia="Calibri" w:cs="Arial"/>
                          <w:i/>
                          <w:sz w:val="20"/>
                          <w:szCs w:val="20"/>
                        </w:rPr>
                        <w:t>Adoptée à l’unanimité</w:t>
                      </w:r>
                    </w:p>
                    <w:p w14:paraId="210AFBFA" w14:textId="34A79CA9" w:rsidR="008A6624" w:rsidRPr="007F2320" w:rsidRDefault="008A6624" w:rsidP="007F2320">
                      <w:pPr>
                        <w:spacing w:after="0" w:line="240" w:lineRule="auto"/>
                        <w:rPr>
                          <w:rFonts w:eastAsia="Calibri" w:cs="Arial"/>
                          <w:i/>
                          <w:sz w:val="20"/>
                          <w:szCs w:val="20"/>
                        </w:rPr>
                      </w:pPr>
                    </w:p>
                  </w:txbxContent>
                </v:textbox>
              </v:shape>
            </w:pict>
          </mc:Fallback>
        </mc:AlternateContent>
      </w:r>
      <w:r w:rsidR="007F2320">
        <w:rPr>
          <w:rFonts w:ascii="Lato" w:hAnsi="Lato"/>
          <w:b/>
          <w:sz w:val="20"/>
          <w:szCs w:val="20"/>
        </w:rPr>
        <w:t xml:space="preserve">           </w:t>
      </w:r>
    </w:p>
    <w:p w14:paraId="42969298" w14:textId="4712FD07" w:rsidR="008A6624" w:rsidRPr="00D32F7C" w:rsidRDefault="008A6624" w:rsidP="000A2EB0">
      <w:pPr>
        <w:pStyle w:val="NormalWeb"/>
        <w:ind w:left="4956" w:firstLine="708"/>
        <w:jc w:val="both"/>
        <w:rPr>
          <w:rFonts w:ascii="Lato" w:hAnsi="Lato" w:cs="Arial"/>
          <w:sz w:val="20"/>
          <w:szCs w:val="20"/>
        </w:rPr>
      </w:pPr>
      <w:r w:rsidRPr="001E012C">
        <w:rPr>
          <w:rFonts w:ascii="Lato" w:hAnsi="Lato"/>
          <w:b/>
          <w:sz w:val="20"/>
          <w:szCs w:val="20"/>
        </w:rPr>
        <w:t>Le Président de l’Agence Départementale</w:t>
      </w:r>
    </w:p>
    <w:p w14:paraId="258297E1"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1E09513B"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667E0AA4"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C6B16FD"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9E26DD8" w14:textId="77777777" w:rsidR="008A6624" w:rsidRDefault="008A6624" w:rsidP="001E678D">
      <w:pPr>
        <w:spacing w:after="0" w:line="240" w:lineRule="auto"/>
        <w:rPr>
          <w:rFonts w:ascii="Lato" w:eastAsia="Times New Roman" w:hAnsi="Lato"/>
          <w:b/>
          <w:sz w:val="20"/>
          <w:szCs w:val="20"/>
          <w:lang w:eastAsia="fr-FR"/>
        </w:rPr>
      </w:pPr>
    </w:p>
    <w:p w14:paraId="3E9CC52B"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1F44EA53" w14:textId="77777777"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14:paraId="31DE349D"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3495494C"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5E29AF6A"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003B684D"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21D0FF1"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0EFC3025" w14:textId="77777777" w:rsidR="0006219B" w:rsidRDefault="0006219B" w:rsidP="008A6624">
      <w:pPr>
        <w:spacing w:after="0" w:line="240" w:lineRule="auto"/>
        <w:ind w:firstLine="5040"/>
        <w:jc w:val="both"/>
        <w:rPr>
          <w:rFonts w:ascii="Lato" w:eastAsia="Times New Roman" w:hAnsi="Lato" w:cs="Arial"/>
          <w:sz w:val="20"/>
          <w:szCs w:val="20"/>
          <w:lang w:eastAsia="fr-FR"/>
        </w:rPr>
      </w:pPr>
    </w:p>
    <w:p w14:paraId="204C6CF4" w14:textId="77777777" w:rsidR="007F2320" w:rsidRPr="007F2320" w:rsidRDefault="007F2320" w:rsidP="0006219B">
      <w:pPr>
        <w:widowControl w:val="0"/>
        <w:pBdr>
          <w:top w:val="single" w:sz="4" w:space="1" w:color="auto"/>
          <w:left w:val="single" w:sz="4" w:space="4" w:color="auto"/>
          <w:bottom w:val="single" w:sz="4" w:space="1" w:color="auto"/>
          <w:right w:val="single" w:sz="4" w:space="4" w:color="auto"/>
        </w:pBdr>
        <w:jc w:val="both"/>
        <w:rPr>
          <w:rFonts w:ascii="Lato" w:eastAsia="Calibri" w:hAnsi="Lato" w:cs="Calibri"/>
          <w:sz w:val="18"/>
          <w:szCs w:val="20"/>
          <w:lang w:eastAsia="fr-FR"/>
        </w:rPr>
      </w:pPr>
      <w:r w:rsidRPr="007F2320">
        <w:rPr>
          <w:rFonts w:ascii="Lato" w:eastAsia="Calibri" w:hAnsi="Lato" w:cs="Calibri"/>
          <w:sz w:val="18"/>
          <w:szCs w:val="20"/>
          <w:u w:val="single"/>
          <w:lang w:eastAsia="fr-FR"/>
        </w:rPr>
        <w:t>Délais et voies de recours</w:t>
      </w:r>
      <w:r w:rsidRPr="007F2320">
        <w:rPr>
          <w:rFonts w:ascii="Lato" w:eastAsia="Calibri" w:hAnsi="Lato" w:cs="Calibri"/>
          <w:sz w:val="18"/>
          <w:szCs w:val="20"/>
          <w:lang w:eastAsia="fr-FR"/>
        </w:rPr>
        <w:t> : Le présent acte peut faire l'objet d'un recours contentieux auprès du tribunal administratif de Toulouse, situé 68, rue Raymond IV, B.P. 7007, 31068 Toulouse Cedex 07, dans le délai de 2 mois à compter de sa publication.</w:t>
      </w:r>
    </w:p>
    <w:p w14:paraId="2EFC819E" w14:textId="77777777" w:rsidR="007F2320" w:rsidRPr="007F2320" w:rsidRDefault="007F2320" w:rsidP="0006219B">
      <w:pPr>
        <w:widowControl w:val="0"/>
        <w:pBdr>
          <w:top w:val="single" w:sz="4" w:space="1" w:color="auto"/>
          <w:left w:val="single" w:sz="4" w:space="4" w:color="auto"/>
          <w:bottom w:val="single" w:sz="4" w:space="1" w:color="auto"/>
          <w:right w:val="single" w:sz="4" w:space="4" w:color="auto"/>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Le tribunal peut être saisi par courrier ou via l’application informatique Télérecours, accessible par le lien </w:t>
      </w:r>
      <w:hyperlink r:id="rId6" w:history="1">
        <w:r w:rsidRPr="007F2320">
          <w:rPr>
            <w:rFonts w:ascii="Lato" w:eastAsia="Calibri" w:hAnsi="Lato" w:cs="Calibri"/>
            <w:sz w:val="18"/>
            <w:szCs w:val="20"/>
            <w:lang w:eastAsia="fr-FR"/>
          </w:rPr>
          <w:t>http://www.telerecours.fr</w:t>
        </w:r>
      </w:hyperlink>
    </w:p>
    <w:p w14:paraId="28054DFC" w14:textId="34D2CAFC" w:rsidR="007F2320" w:rsidRDefault="007F2320" w:rsidP="0006219B">
      <w:pPr>
        <w:widowControl w:val="0"/>
        <w:pBdr>
          <w:top w:val="single" w:sz="4" w:space="1" w:color="auto"/>
          <w:left w:val="single" w:sz="4" w:space="4" w:color="auto"/>
          <w:bottom w:val="single" w:sz="4" w:space="1" w:color="auto"/>
          <w:right w:val="single" w:sz="4" w:space="4" w:color="auto"/>
        </w:pBdr>
        <w:jc w:val="both"/>
        <w:rPr>
          <w:rFonts w:ascii="Lato" w:eastAsia="Calibri" w:hAnsi="Lato" w:cs="Calibri"/>
          <w:sz w:val="18"/>
          <w:szCs w:val="20"/>
          <w:lang w:eastAsia="fr-FR"/>
        </w:rPr>
      </w:pPr>
      <w:r w:rsidRPr="007F2320">
        <w:rPr>
          <w:rFonts w:ascii="Lato" w:eastAsia="Calibri" w:hAnsi="Lato" w:cs="Calibri"/>
          <w:sz w:val="18"/>
          <w:szCs w:val="20"/>
          <w:lang w:eastAsia="fr-FR"/>
        </w:rPr>
        <w:t>Un recours gracieux peut également être exercé contre cet acte auprès de son auteur. Cette démarche prolonge le délai de recours contentieux</w:t>
      </w:r>
      <w:r w:rsidR="003F1A5B">
        <w:rPr>
          <w:rFonts w:ascii="Lato" w:eastAsia="Calibri" w:hAnsi="Lato" w:cs="Calibri"/>
          <w:sz w:val="18"/>
          <w:szCs w:val="20"/>
          <w:lang w:eastAsia="fr-FR"/>
        </w:rPr>
        <w:t>, recours</w:t>
      </w:r>
      <w:r w:rsidRPr="007F2320">
        <w:rPr>
          <w:rFonts w:ascii="Lato" w:eastAsia="Calibri" w:hAnsi="Lato" w:cs="Calibri"/>
          <w:sz w:val="18"/>
          <w:szCs w:val="20"/>
          <w:lang w:eastAsia="fr-FR"/>
        </w:rPr>
        <w:t xml:space="preserve"> qui doit alors être introduit dans le délai de 2 mois suivant la réponse à ce recours gracieux ; toutefois, le silence gardé pendant un délai de 2 mois sur ce recours gracieux vaut décision implicite de rejet.  </w:t>
      </w:r>
    </w:p>
    <w:p w14:paraId="5D0A19FB" w14:textId="77777777" w:rsidR="0006219B" w:rsidRDefault="0006219B" w:rsidP="0006219B">
      <w:pPr>
        <w:widowControl w:val="0"/>
        <w:spacing w:after="0"/>
        <w:jc w:val="both"/>
        <w:rPr>
          <w:rFonts w:ascii="Lato" w:eastAsia="Calibri" w:hAnsi="Lato" w:cs="Calibri"/>
          <w:sz w:val="18"/>
          <w:szCs w:val="20"/>
          <w:lang w:eastAsia="fr-FR"/>
        </w:rPr>
      </w:pPr>
    </w:p>
    <w:p w14:paraId="05DC920C" w14:textId="77777777" w:rsidR="0038693F" w:rsidRPr="007F2320" w:rsidRDefault="0038693F" w:rsidP="0006219B">
      <w:pPr>
        <w:widowControl w:val="0"/>
        <w:spacing w:after="0"/>
        <w:jc w:val="both"/>
        <w:rPr>
          <w:rFonts w:ascii="Lato" w:eastAsia="Calibri" w:hAnsi="Lato" w:cs="Calibri"/>
          <w:sz w:val="18"/>
          <w:szCs w:val="20"/>
          <w:lang w:eastAsia="fr-FR"/>
        </w:rPr>
      </w:pPr>
    </w:p>
    <w:sectPr w:rsidR="0038693F" w:rsidRPr="007F2320"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F45"/>
    <w:multiLevelType w:val="hybridMultilevel"/>
    <w:tmpl w:val="EE62D292"/>
    <w:lvl w:ilvl="0" w:tplc="BD60A3E2">
      <w:numFmt w:val="bullet"/>
      <w:lvlText w:val="-"/>
      <w:lvlJc w:val="left"/>
      <w:pPr>
        <w:ind w:left="720" w:hanging="360"/>
      </w:pPr>
      <w:rPr>
        <w:rFonts w:ascii="Lato" w:eastAsia="Times New Roman"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329C7"/>
    <w:multiLevelType w:val="hybridMultilevel"/>
    <w:tmpl w:val="DD220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476C27"/>
    <w:multiLevelType w:val="hybridMultilevel"/>
    <w:tmpl w:val="ECA2918C"/>
    <w:lvl w:ilvl="0" w:tplc="D2E8BE80">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2A0B06"/>
    <w:multiLevelType w:val="hybridMultilevel"/>
    <w:tmpl w:val="D450B372"/>
    <w:lvl w:ilvl="0" w:tplc="4A122116">
      <w:numFmt w:val="bullet"/>
      <w:lvlText w:val="-"/>
      <w:lvlJc w:val="left"/>
      <w:pPr>
        <w:ind w:left="644" w:hanging="360"/>
      </w:pPr>
      <w:rPr>
        <w:rFonts w:ascii="Lato" w:eastAsia="Times New Roman" w:hAnsi="Lato"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25944832"/>
    <w:multiLevelType w:val="hybridMultilevel"/>
    <w:tmpl w:val="ADAE9AC2"/>
    <w:lvl w:ilvl="0" w:tplc="1084D4FE">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25288"/>
    <w:multiLevelType w:val="hybridMultilevel"/>
    <w:tmpl w:val="12DCE296"/>
    <w:lvl w:ilvl="0" w:tplc="040C000B">
      <w:start w:val="1"/>
      <w:numFmt w:val="bullet"/>
      <w:lvlText w:val=""/>
      <w:lvlJc w:val="left"/>
      <w:pPr>
        <w:ind w:left="1068" w:hanging="360"/>
      </w:pPr>
      <w:rPr>
        <w:rFonts w:ascii="Wingdings" w:hAnsi="Wingdings" w:hint="default"/>
        <w:color w:val="00000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11"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7A1F52"/>
    <w:multiLevelType w:val="hybridMultilevel"/>
    <w:tmpl w:val="70C477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AEB1C2A"/>
    <w:multiLevelType w:val="hybridMultilevel"/>
    <w:tmpl w:val="603A19E8"/>
    <w:lvl w:ilvl="0" w:tplc="549E9562">
      <w:numFmt w:val="bullet"/>
      <w:lvlText w:val="-"/>
      <w:lvlJc w:val="left"/>
      <w:pPr>
        <w:ind w:left="1080" w:hanging="360"/>
      </w:pPr>
      <w:rPr>
        <w:rFonts w:ascii="Lato" w:eastAsia="Times New Roman" w:hAnsi="Lato" w:cs="Times New Roman"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2736A41"/>
    <w:multiLevelType w:val="hybridMultilevel"/>
    <w:tmpl w:val="BCC8BF00"/>
    <w:lvl w:ilvl="0" w:tplc="AAB6A288">
      <w:start w:val="200"/>
      <w:numFmt w:val="bullet"/>
      <w:lvlText w:val="-"/>
      <w:lvlJc w:val="left"/>
      <w:pPr>
        <w:ind w:left="1068" w:hanging="360"/>
      </w:pPr>
      <w:rPr>
        <w:rFonts w:ascii="Lato" w:eastAsia="Calibri" w:hAnsi="Lato" w:cs="Tahoma"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314889"/>
    <w:multiLevelType w:val="hybridMultilevel"/>
    <w:tmpl w:val="644633DE"/>
    <w:lvl w:ilvl="0" w:tplc="A05A3B7C">
      <w:numFmt w:val="bullet"/>
      <w:lvlText w:val="-"/>
      <w:lvlJc w:val="left"/>
      <w:pPr>
        <w:ind w:left="644" w:hanging="360"/>
      </w:pPr>
      <w:rPr>
        <w:rFonts w:ascii="Lato" w:eastAsia="Times New Roman" w:hAnsi="Lato"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4C3B27B8"/>
    <w:multiLevelType w:val="hybridMultilevel"/>
    <w:tmpl w:val="7FFAF9DC"/>
    <w:lvl w:ilvl="0" w:tplc="4B0EA98A">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6C6BB6"/>
    <w:multiLevelType w:val="hybridMultilevel"/>
    <w:tmpl w:val="E3FA86B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F653BE"/>
    <w:multiLevelType w:val="hybridMultilevel"/>
    <w:tmpl w:val="30B293A6"/>
    <w:lvl w:ilvl="0" w:tplc="B4D84494">
      <w:numFmt w:val="bullet"/>
      <w:lvlText w:val="-"/>
      <w:lvlJc w:val="left"/>
      <w:pPr>
        <w:ind w:left="1440" w:hanging="360"/>
      </w:pPr>
      <w:rPr>
        <w:rFonts w:ascii="Lato" w:eastAsia="Times New Roman" w:hAnsi="Lato" w:cs="Times New Roman" w:hint="default"/>
        <w:b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CA74BF8"/>
    <w:multiLevelType w:val="multilevel"/>
    <w:tmpl w:val="41E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A01F7"/>
    <w:multiLevelType w:val="hybridMultilevel"/>
    <w:tmpl w:val="0C16E5F8"/>
    <w:lvl w:ilvl="0" w:tplc="F50C9386">
      <w:numFmt w:val="bullet"/>
      <w:lvlText w:val="-"/>
      <w:lvlJc w:val="left"/>
      <w:pPr>
        <w:ind w:left="720" w:hanging="360"/>
      </w:pPr>
      <w:rPr>
        <w:rFonts w:ascii="Lato" w:eastAsia="Times New Roman"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880C92"/>
    <w:multiLevelType w:val="hybridMultilevel"/>
    <w:tmpl w:val="A3BE1B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331460"/>
    <w:multiLevelType w:val="multilevel"/>
    <w:tmpl w:val="975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4656B3"/>
    <w:multiLevelType w:val="multilevel"/>
    <w:tmpl w:val="C2B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792430BC"/>
    <w:multiLevelType w:val="hybridMultilevel"/>
    <w:tmpl w:val="59CEA684"/>
    <w:lvl w:ilvl="0" w:tplc="E836F72E">
      <w:numFmt w:val="bullet"/>
      <w:lvlText w:val="-"/>
      <w:lvlJc w:val="left"/>
      <w:pPr>
        <w:ind w:left="720" w:hanging="360"/>
      </w:pPr>
      <w:rPr>
        <w:rFonts w:ascii="Lato" w:eastAsia="Times New Roman" w:hAnsi="Lato"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FB2D32"/>
    <w:multiLevelType w:val="hybridMultilevel"/>
    <w:tmpl w:val="CCE4F1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5608337">
    <w:abstractNumId w:val="29"/>
  </w:num>
  <w:num w:numId="2" w16cid:durableId="363019387">
    <w:abstractNumId w:val="6"/>
  </w:num>
  <w:num w:numId="3" w16cid:durableId="2041200361">
    <w:abstractNumId w:val="27"/>
  </w:num>
  <w:num w:numId="4" w16cid:durableId="377825989">
    <w:abstractNumId w:val="4"/>
  </w:num>
  <w:num w:numId="5" w16cid:durableId="180820538">
    <w:abstractNumId w:val="4"/>
  </w:num>
  <w:num w:numId="6" w16cid:durableId="2065566980">
    <w:abstractNumId w:val="11"/>
  </w:num>
  <w:num w:numId="7" w16cid:durableId="2013098621">
    <w:abstractNumId w:val="22"/>
  </w:num>
  <w:num w:numId="8" w16cid:durableId="306934749">
    <w:abstractNumId w:val="5"/>
  </w:num>
  <w:num w:numId="9" w16cid:durableId="1943679398">
    <w:abstractNumId w:val="8"/>
  </w:num>
  <w:num w:numId="10" w16cid:durableId="1589926201">
    <w:abstractNumId w:val="15"/>
  </w:num>
  <w:num w:numId="11" w16cid:durableId="1514688311">
    <w:abstractNumId w:val="10"/>
  </w:num>
  <w:num w:numId="12" w16cid:durableId="193738898">
    <w:abstractNumId w:val="18"/>
  </w:num>
  <w:num w:numId="13" w16cid:durableId="928924685">
    <w:abstractNumId w:val="25"/>
  </w:num>
  <w:num w:numId="14" w16cid:durableId="1522166681">
    <w:abstractNumId w:val="21"/>
  </w:num>
  <w:num w:numId="15" w16cid:durableId="1165323953">
    <w:abstractNumId w:val="26"/>
  </w:num>
  <w:num w:numId="16" w16cid:durableId="25832837">
    <w:abstractNumId w:val="28"/>
  </w:num>
  <w:num w:numId="17" w16cid:durableId="348603195">
    <w:abstractNumId w:val="2"/>
  </w:num>
  <w:num w:numId="18" w16cid:durableId="512763039">
    <w:abstractNumId w:val="13"/>
  </w:num>
  <w:num w:numId="19" w16cid:durableId="1159544174">
    <w:abstractNumId w:val="20"/>
  </w:num>
  <w:num w:numId="20" w16cid:durableId="924804048">
    <w:abstractNumId w:val="23"/>
  </w:num>
  <w:num w:numId="21" w16cid:durableId="662509826">
    <w:abstractNumId w:val="1"/>
  </w:num>
  <w:num w:numId="22" w16cid:durableId="1068459055">
    <w:abstractNumId w:val="17"/>
  </w:num>
  <w:num w:numId="23" w16cid:durableId="504588588">
    <w:abstractNumId w:val="7"/>
  </w:num>
  <w:num w:numId="24" w16cid:durableId="1917982303">
    <w:abstractNumId w:val="0"/>
  </w:num>
  <w:num w:numId="25" w16cid:durableId="413086850">
    <w:abstractNumId w:val="3"/>
  </w:num>
  <w:num w:numId="26" w16cid:durableId="200022145">
    <w:abstractNumId w:val="16"/>
  </w:num>
  <w:num w:numId="27" w16cid:durableId="78135866">
    <w:abstractNumId w:val="30"/>
  </w:num>
  <w:num w:numId="28" w16cid:durableId="874736256">
    <w:abstractNumId w:val="19"/>
  </w:num>
  <w:num w:numId="29" w16cid:durableId="1745226174">
    <w:abstractNumId w:val="12"/>
  </w:num>
  <w:num w:numId="30" w16cid:durableId="1093085832">
    <w:abstractNumId w:val="24"/>
  </w:num>
  <w:num w:numId="31" w16cid:durableId="965962688">
    <w:abstractNumId w:val="14"/>
  </w:num>
  <w:num w:numId="32" w16cid:durableId="1275791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19"/>
    <w:rsid w:val="000051D8"/>
    <w:rsid w:val="00015009"/>
    <w:rsid w:val="0002711C"/>
    <w:rsid w:val="00033136"/>
    <w:rsid w:val="00034C33"/>
    <w:rsid w:val="000529EA"/>
    <w:rsid w:val="00057DE3"/>
    <w:rsid w:val="0006219B"/>
    <w:rsid w:val="00062CE0"/>
    <w:rsid w:val="000647AD"/>
    <w:rsid w:val="000768BD"/>
    <w:rsid w:val="00090224"/>
    <w:rsid w:val="00091316"/>
    <w:rsid w:val="000A2EB0"/>
    <w:rsid w:val="000B519B"/>
    <w:rsid w:val="000D006F"/>
    <w:rsid w:val="000F6403"/>
    <w:rsid w:val="00121D67"/>
    <w:rsid w:val="0014686C"/>
    <w:rsid w:val="001478BB"/>
    <w:rsid w:val="00160894"/>
    <w:rsid w:val="00163160"/>
    <w:rsid w:val="00176E28"/>
    <w:rsid w:val="00183E67"/>
    <w:rsid w:val="001A5218"/>
    <w:rsid w:val="001C1FEB"/>
    <w:rsid w:val="001D4D04"/>
    <w:rsid w:val="001D5508"/>
    <w:rsid w:val="001D712B"/>
    <w:rsid w:val="001E678D"/>
    <w:rsid w:val="00210158"/>
    <w:rsid w:val="00212FBD"/>
    <w:rsid w:val="002140D7"/>
    <w:rsid w:val="002304AC"/>
    <w:rsid w:val="00233206"/>
    <w:rsid w:val="00271656"/>
    <w:rsid w:val="00273DEB"/>
    <w:rsid w:val="00291301"/>
    <w:rsid w:val="002A2CF8"/>
    <w:rsid w:val="002A4C48"/>
    <w:rsid w:val="002A7041"/>
    <w:rsid w:val="002D036F"/>
    <w:rsid w:val="002F1CA6"/>
    <w:rsid w:val="00323577"/>
    <w:rsid w:val="00324A01"/>
    <w:rsid w:val="0033209D"/>
    <w:rsid w:val="00334441"/>
    <w:rsid w:val="00336BD8"/>
    <w:rsid w:val="003457E0"/>
    <w:rsid w:val="0035740B"/>
    <w:rsid w:val="00364CED"/>
    <w:rsid w:val="00381766"/>
    <w:rsid w:val="0038466D"/>
    <w:rsid w:val="003850E3"/>
    <w:rsid w:val="0038693F"/>
    <w:rsid w:val="00387F1F"/>
    <w:rsid w:val="003B7EFD"/>
    <w:rsid w:val="003C3444"/>
    <w:rsid w:val="003D2FA2"/>
    <w:rsid w:val="003F1A5B"/>
    <w:rsid w:val="0040009D"/>
    <w:rsid w:val="0040137E"/>
    <w:rsid w:val="00401FD8"/>
    <w:rsid w:val="0041424A"/>
    <w:rsid w:val="00480353"/>
    <w:rsid w:val="00481D3B"/>
    <w:rsid w:val="00485A3C"/>
    <w:rsid w:val="0049685F"/>
    <w:rsid w:val="004C1F8A"/>
    <w:rsid w:val="004F142F"/>
    <w:rsid w:val="004F29D3"/>
    <w:rsid w:val="004F4D32"/>
    <w:rsid w:val="0051725A"/>
    <w:rsid w:val="00544395"/>
    <w:rsid w:val="0054656C"/>
    <w:rsid w:val="00567136"/>
    <w:rsid w:val="00575038"/>
    <w:rsid w:val="005A0CAD"/>
    <w:rsid w:val="005D312C"/>
    <w:rsid w:val="006101B4"/>
    <w:rsid w:val="00661983"/>
    <w:rsid w:val="00666996"/>
    <w:rsid w:val="006B11C1"/>
    <w:rsid w:val="006C6873"/>
    <w:rsid w:val="006C7A72"/>
    <w:rsid w:val="006D188F"/>
    <w:rsid w:val="006D2BD3"/>
    <w:rsid w:val="006D3B2D"/>
    <w:rsid w:val="00720DBC"/>
    <w:rsid w:val="00742851"/>
    <w:rsid w:val="00752A99"/>
    <w:rsid w:val="00775154"/>
    <w:rsid w:val="00777DCE"/>
    <w:rsid w:val="00793115"/>
    <w:rsid w:val="007A442E"/>
    <w:rsid w:val="007C3E13"/>
    <w:rsid w:val="007D2D9E"/>
    <w:rsid w:val="007E5057"/>
    <w:rsid w:val="007F2320"/>
    <w:rsid w:val="007F250D"/>
    <w:rsid w:val="0080049B"/>
    <w:rsid w:val="00800FFA"/>
    <w:rsid w:val="00807939"/>
    <w:rsid w:val="00811732"/>
    <w:rsid w:val="0087095B"/>
    <w:rsid w:val="0088509F"/>
    <w:rsid w:val="008A6624"/>
    <w:rsid w:val="008B725F"/>
    <w:rsid w:val="008D117E"/>
    <w:rsid w:val="008D4374"/>
    <w:rsid w:val="0090235D"/>
    <w:rsid w:val="00921190"/>
    <w:rsid w:val="00924986"/>
    <w:rsid w:val="00953E09"/>
    <w:rsid w:val="00965E73"/>
    <w:rsid w:val="00971AA9"/>
    <w:rsid w:val="009823C3"/>
    <w:rsid w:val="0098271C"/>
    <w:rsid w:val="009956B0"/>
    <w:rsid w:val="009A2915"/>
    <w:rsid w:val="009A5A19"/>
    <w:rsid w:val="009D02FF"/>
    <w:rsid w:val="009F0223"/>
    <w:rsid w:val="00A01A7C"/>
    <w:rsid w:val="00A207C9"/>
    <w:rsid w:val="00A27856"/>
    <w:rsid w:val="00A51579"/>
    <w:rsid w:val="00A52741"/>
    <w:rsid w:val="00A67685"/>
    <w:rsid w:val="00A86888"/>
    <w:rsid w:val="00A93E02"/>
    <w:rsid w:val="00B10B5F"/>
    <w:rsid w:val="00B13816"/>
    <w:rsid w:val="00B20FC9"/>
    <w:rsid w:val="00B2675E"/>
    <w:rsid w:val="00B27BE5"/>
    <w:rsid w:val="00B513B5"/>
    <w:rsid w:val="00B627DA"/>
    <w:rsid w:val="00B83028"/>
    <w:rsid w:val="00B9559C"/>
    <w:rsid w:val="00BA3248"/>
    <w:rsid w:val="00BB38AD"/>
    <w:rsid w:val="00BC560F"/>
    <w:rsid w:val="00BE25EB"/>
    <w:rsid w:val="00C22E81"/>
    <w:rsid w:val="00C24ADC"/>
    <w:rsid w:val="00C26EC1"/>
    <w:rsid w:val="00C47AA7"/>
    <w:rsid w:val="00CC3EA3"/>
    <w:rsid w:val="00CC5338"/>
    <w:rsid w:val="00CC5386"/>
    <w:rsid w:val="00CD0C2B"/>
    <w:rsid w:val="00CD4092"/>
    <w:rsid w:val="00D26A4B"/>
    <w:rsid w:val="00D37A55"/>
    <w:rsid w:val="00D454A4"/>
    <w:rsid w:val="00D80935"/>
    <w:rsid w:val="00DF7868"/>
    <w:rsid w:val="00E01E88"/>
    <w:rsid w:val="00E11AD5"/>
    <w:rsid w:val="00E47A3E"/>
    <w:rsid w:val="00E50735"/>
    <w:rsid w:val="00E57392"/>
    <w:rsid w:val="00E65AD4"/>
    <w:rsid w:val="00E66565"/>
    <w:rsid w:val="00E73CF7"/>
    <w:rsid w:val="00E95026"/>
    <w:rsid w:val="00EA5DCC"/>
    <w:rsid w:val="00EC35EB"/>
    <w:rsid w:val="00ED5893"/>
    <w:rsid w:val="00ED7E17"/>
    <w:rsid w:val="00ED7F0C"/>
    <w:rsid w:val="00EE6A35"/>
    <w:rsid w:val="00F03B9E"/>
    <w:rsid w:val="00F07F55"/>
    <w:rsid w:val="00F373CD"/>
    <w:rsid w:val="00F44CA1"/>
    <w:rsid w:val="00F679F9"/>
    <w:rsid w:val="00F82F27"/>
    <w:rsid w:val="00F83944"/>
    <w:rsid w:val="00FA13B7"/>
    <w:rsid w:val="00FA6195"/>
    <w:rsid w:val="00FB3F4E"/>
    <w:rsid w:val="00FD58CB"/>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084C"/>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34"/>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23C3"/>
    <w:rPr>
      <w:b/>
      <w:bCs/>
    </w:rPr>
  </w:style>
  <w:style w:type="character" w:styleId="Marquedecommentaire">
    <w:name w:val="annotation reference"/>
    <w:basedOn w:val="Policepardfaut"/>
    <w:uiPriority w:val="99"/>
    <w:semiHidden/>
    <w:unhideWhenUsed/>
    <w:rsid w:val="00033136"/>
    <w:rPr>
      <w:sz w:val="16"/>
      <w:szCs w:val="16"/>
    </w:rPr>
  </w:style>
  <w:style w:type="paragraph" w:styleId="Commentaire">
    <w:name w:val="annotation text"/>
    <w:basedOn w:val="Normal"/>
    <w:link w:val="CommentaireCar"/>
    <w:uiPriority w:val="99"/>
    <w:semiHidden/>
    <w:unhideWhenUsed/>
    <w:rsid w:val="00033136"/>
    <w:pPr>
      <w:spacing w:line="240" w:lineRule="auto"/>
    </w:pPr>
    <w:rPr>
      <w:sz w:val="20"/>
      <w:szCs w:val="20"/>
    </w:rPr>
  </w:style>
  <w:style w:type="character" w:customStyle="1" w:styleId="CommentaireCar">
    <w:name w:val="Commentaire Car"/>
    <w:basedOn w:val="Policepardfaut"/>
    <w:link w:val="Commentaire"/>
    <w:uiPriority w:val="99"/>
    <w:semiHidden/>
    <w:rsid w:val="00033136"/>
    <w:rPr>
      <w:sz w:val="20"/>
      <w:szCs w:val="20"/>
    </w:rPr>
  </w:style>
  <w:style w:type="paragraph" w:styleId="Objetducommentaire">
    <w:name w:val="annotation subject"/>
    <w:basedOn w:val="Commentaire"/>
    <w:next w:val="Commentaire"/>
    <w:link w:val="ObjetducommentaireCar"/>
    <w:uiPriority w:val="99"/>
    <w:semiHidden/>
    <w:unhideWhenUsed/>
    <w:rsid w:val="00033136"/>
    <w:rPr>
      <w:b/>
      <w:bCs/>
    </w:rPr>
  </w:style>
  <w:style w:type="character" w:customStyle="1" w:styleId="ObjetducommentaireCar">
    <w:name w:val="Objet du commentaire Car"/>
    <w:basedOn w:val="CommentaireCar"/>
    <w:link w:val="Objetducommentaire"/>
    <w:uiPriority w:val="99"/>
    <w:semiHidden/>
    <w:rsid w:val="00033136"/>
    <w:rPr>
      <w:b/>
      <w:bCs/>
      <w:sz w:val="20"/>
      <w:szCs w:val="20"/>
    </w:rPr>
  </w:style>
  <w:style w:type="table" w:styleId="Grilledutableau">
    <w:name w:val="Table Grid"/>
    <w:basedOn w:val="TableauNormal"/>
    <w:uiPriority w:val="39"/>
    <w:rsid w:val="00062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1871">
      <w:bodyDiv w:val="1"/>
      <w:marLeft w:val="0"/>
      <w:marRight w:val="0"/>
      <w:marTop w:val="0"/>
      <w:marBottom w:val="0"/>
      <w:divBdr>
        <w:top w:val="none" w:sz="0" w:space="0" w:color="auto"/>
        <w:left w:val="none" w:sz="0" w:space="0" w:color="auto"/>
        <w:bottom w:val="none" w:sz="0" w:space="0" w:color="auto"/>
        <w:right w:val="none" w:sz="0" w:space="0" w:color="auto"/>
      </w:divBdr>
    </w:div>
    <w:div w:id="281763525">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04429570">
      <w:bodyDiv w:val="1"/>
      <w:marLeft w:val="0"/>
      <w:marRight w:val="0"/>
      <w:marTop w:val="0"/>
      <w:marBottom w:val="0"/>
      <w:divBdr>
        <w:top w:val="none" w:sz="0" w:space="0" w:color="auto"/>
        <w:left w:val="none" w:sz="0" w:space="0" w:color="auto"/>
        <w:bottom w:val="none" w:sz="0" w:space="0" w:color="auto"/>
        <w:right w:val="none" w:sz="0" w:space="0" w:color="auto"/>
      </w:divBdr>
    </w:div>
    <w:div w:id="101885300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50586455">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1878001688">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A63F-633A-4877-ABEB-8C30687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3</Pages>
  <Words>1140</Words>
  <Characters>6271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MOLINARIE Florence</cp:lastModifiedBy>
  <cp:revision>32</cp:revision>
  <cp:lastPrinted>2025-11-05T08:08:00Z</cp:lastPrinted>
  <dcterms:created xsi:type="dcterms:W3CDTF">2026-05-13T12:13:00Z</dcterms:created>
  <dcterms:modified xsi:type="dcterms:W3CDTF">2026-06-17T14:17:00Z</dcterms:modified>
</cp:coreProperties>
</file>