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650E6BD6"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1E678D">
        <w:rPr>
          <w:rFonts w:ascii="Lato" w:eastAsia="Calibri" w:hAnsi="Lato" w:cs="Times New Roman"/>
          <w:b/>
          <w:sz w:val="20"/>
          <w:szCs w:val="20"/>
        </w:rPr>
        <w:t>10</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108CF013" w14:textId="340696FB" w:rsidR="003E1BB2" w:rsidRPr="00034C33" w:rsidRDefault="003E1BB2" w:rsidP="003E1BB2">
      <w:pPr>
        <w:spacing w:after="0" w:line="240" w:lineRule="auto"/>
        <w:jc w:val="both"/>
        <w:rPr>
          <w:rFonts w:ascii="Lato" w:hAnsi="Lato"/>
          <w:sz w:val="20"/>
          <w:szCs w:val="20"/>
        </w:rPr>
      </w:pPr>
      <w:r w:rsidRPr="00034C33">
        <w:rPr>
          <w:rFonts w:ascii="Lato" w:hAnsi="Lato"/>
          <w:sz w:val="20"/>
          <w:szCs w:val="20"/>
        </w:rPr>
        <w:t>L’an 2026, le 09 juin à16</w:t>
      </w:r>
      <w:r w:rsidR="00DD3DF3">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09E2CA52" w14:textId="77777777" w:rsidR="003E1BB2" w:rsidRPr="00034C33" w:rsidRDefault="003E1BB2" w:rsidP="003E1BB2">
      <w:pPr>
        <w:spacing w:after="0" w:line="240" w:lineRule="auto"/>
        <w:jc w:val="both"/>
        <w:rPr>
          <w:rFonts w:ascii="Lato" w:eastAsia="Calibri" w:hAnsi="Lato" w:cs="Times New Roman"/>
          <w:sz w:val="20"/>
          <w:szCs w:val="20"/>
        </w:rPr>
      </w:pPr>
    </w:p>
    <w:p w14:paraId="5C784EDB" w14:textId="77777777" w:rsidR="003E1BB2" w:rsidRPr="00375174" w:rsidRDefault="003E1BB2" w:rsidP="003E1BB2">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0E7601B3" w14:textId="77777777" w:rsidR="003E1BB2" w:rsidRPr="00DF7868" w:rsidRDefault="003E1BB2" w:rsidP="003E1BB2">
      <w:pPr>
        <w:spacing w:after="0" w:line="240" w:lineRule="auto"/>
        <w:jc w:val="both"/>
        <w:rPr>
          <w:rFonts w:ascii="Lato" w:hAnsi="Lato" w:cs="Arial"/>
          <w:sz w:val="20"/>
          <w:szCs w:val="20"/>
          <w:highlight w:val="yellow"/>
        </w:rPr>
      </w:pPr>
    </w:p>
    <w:p w14:paraId="602BF735" w14:textId="77777777" w:rsidR="003E1BB2" w:rsidRPr="00375174" w:rsidRDefault="003E1BB2" w:rsidP="003E1BB2">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6118D322" w14:textId="77777777" w:rsidR="001E678D" w:rsidRPr="00B47781" w:rsidRDefault="00334441" w:rsidP="001E678D">
      <w:pPr>
        <w:rPr>
          <w:rFonts w:ascii="Lato" w:hAnsi="Lato" w:cs="Tahoma"/>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bookmarkStart w:id="0" w:name="_Hlk231378918"/>
      <w:r w:rsidR="001E678D" w:rsidRPr="001E678D">
        <w:rPr>
          <w:rFonts w:ascii="Lato" w:hAnsi="Lato" w:cs="Tahoma"/>
          <w:b/>
          <w:sz w:val="20"/>
          <w:szCs w:val="20"/>
        </w:rPr>
        <w:t>Affectation des résultats de l’exercice 2025 au Budget Primitif 2026</w:t>
      </w:r>
      <w:bookmarkEnd w:id="0"/>
    </w:p>
    <w:p w14:paraId="592CB14C" w14:textId="5094F703" w:rsidR="0087095B" w:rsidRPr="0087095B" w:rsidRDefault="00D26A4B" w:rsidP="00F679F9">
      <w:pPr>
        <w:jc w:val="both"/>
        <w:rPr>
          <w:rFonts w:ascii="Lato" w:hAnsi="Lato" w:cs="Calibri"/>
          <w:color w:val="000000" w:themeColor="text1"/>
          <w:sz w:val="20"/>
          <w:szCs w:val="20"/>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w:t>
      </w:r>
      <w:r w:rsidR="00163160">
        <w:rPr>
          <w:rFonts w:ascii="Lato" w:eastAsia="Times New Roman" w:hAnsi="Lato" w:cs="Times New Roman"/>
          <w:sz w:val="20"/>
          <w:szCs w:val="24"/>
          <w:lang w:eastAsia="fr-FR"/>
        </w:rPr>
        <w:t xml:space="preserve">relatif </w:t>
      </w:r>
      <w:r w:rsidR="00163160" w:rsidRPr="001E678D">
        <w:rPr>
          <w:rFonts w:ascii="Lato" w:eastAsia="Times New Roman" w:hAnsi="Lato" w:cs="Times New Roman"/>
          <w:sz w:val="20"/>
          <w:szCs w:val="24"/>
          <w:lang w:eastAsia="fr-FR"/>
        </w:rPr>
        <w:t xml:space="preserve">à </w:t>
      </w:r>
      <w:r w:rsidR="001E678D" w:rsidRPr="001E678D">
        <w:rPr>
          <w:rFonts w:ascii="Lato" w:hAnsi="Lato" w:cs="Tahoma"/>
          <w:sz w:val="20"/>
          <w:szCs w:val="20"/>
        </w:rPr>
        <w:t>l’affectation des résultats de l’exercice 2025 au Budget Primitif 2026</w:t>
      </w:r>
    </w:p>
    <w:p w14:paraId="4A387DF0" w14:textId="77777777" w:rsidR="00D26A4B" w:rsidRDefault="00D26A4B" w:rsidP="00F679F9">
      <w:pPr>
        <w:pStyle w:val="NormalWeb"/>
        <w:spacing w:before="0" w:beforeAutospacing="0" w:after="0" w:afterAutospacing="0"/>
        <w:jc w:val="both"/>
        <w:rPr>
          <w:rFonts w:ascii="Lato" w:hAnsi="Lato"/>
          <w:b/>
          <w:sz w:val="20"/>
        </w:rPr>
      </w:pPr>
      <w:r w:rsidRPr="00D26A4B">
        <w:rPr>
          <w:rFonts w:ascii="Lato" w:hAnsi="Lato"/>
          <w:b/>
          <w:sz w:val="20"/>
        </w:rPr>
        <w:t>Considérant :</w:t>
      </w:r>
    </w:p>
    <w:p w14:paraId="308BE09D" w14:textId="77777777" w:rsidR="00034C33" w:rsidRDefault="00034C33" w:rsidP="00F679F9">
      <w:pPr>
        <w:pStyle w:val="NormalWeb"/>
        <w:spacing w:before="0" w:beforeAutospacing="0" w:after="0" w:afterAutospacing="0"/>
        <w:jc w:val="both"/>
        <w:rPr>
          <w:rFonts w:ascii="Lato" w:hAnsi="Lato"/>
          <w:bCs/>
          <w:sz w:val="20"/>
        </w:rPr>
      </w:pPr>
    </w:p>
    <w:p w14:paraId="71645E35" w14:textId="7FD658CD" w:rsidR="001E678D" w:rsidRDefault="0099072F" w:rsidP="0099072F">
      <w:pPr>
        <w:pStyle w:val="NormalWeb"/>
        <w:numPr>
          <w:ilvl w:val="0"/>
          <w:numId w:val="20"/>
        </w:numPr>
        <w:spacing w:before="0" w:beforeAutospacing="0" w:after="0" w:afterAutospacing="0"/>
        <w:jc w:val="both"/>
        <w:rPr>
          <w:rFonts w:ascii="Lato" w:hAnsi="Lato" w:cs="Tahoma"/>
          <w:bCs/>
          <w:sz w:val="20"/>
          <w:szCs w:val="20"/>
        </w:rPr>
      </w:pPr>
      <w:r w:rsidRPr="001E678D">
        <w:rPr>
          <w:rFonts w:ascii="Lato" w:hAnsi="Lato" w:cs="Tahoma"/>
          <w:bCs/>
          <w:sz w:val="20"/>
          <w:szCs w:val="20"/>
        </w:rPr>
        <w:t>Que</w:t>
      </w:r>
      <w:r w:rsidR="001E678D" w:rsidRPr="001E678D">
        <w:rPr>
          <w:rFonts w:ascii="Lato" w:hAnsi="Lato" w:cs="Tahoma"/>
          <w:bCs/>
          <w:sz w:val="20"/>
          <w:szCs w:val="20"/>
        </w:rPr>
        <w:t xml:space="preserve"> les résultats de l’exercice peuvent être affectés au budget primitif</w:t>
      </w:r>
      <w:r w:rsidR="00480353">
        <w:rPr>
          <w:rFonts w:ascii="Lato" w:hAnsi="Lato" w:cs="Tahoma"/>
          <w:bCs/>
          <w:sz w:val="20"/>
          <w:szCs w:val="20"/>
        </w:rPr>
        <w:t xml:space="preserve"> </w:t>
      </w:r>
      <w:r w:rsidR="001E678D" w:rsidRPr="001E678D">
        <w:rPr>
          <w:rFonts w:ascii="Lato" w:hAnsi="Lato" w:cs="Tahoma"/>
          <w:bCs/>
          <w:sz w:val="20"/>
          <w:szCs w:val="20"/>
        </w:rPr>
        <w:t>après approbation du Compte Financier Unique</w:t>
      </w:r>
      <w:r w:rsidR="001E678D">
        <w:rPr>
          <w:rFonts w:ascii="Lato" w:hAnsi="Lato" w:cs="Tahoma"/>
          <w:bCs/>
          <w:sz w:val="20"/>
          <w:szCs w:val="20"/>
        </w:rPr>
        <w:t xml:space="preserve"> ; </w:t>
      </w:r>
    </w:p>
    <w:p w14:paraId="006DF3B5" w14:textId="3F78D920" w:rsidR="001E678D" w:rsidRDefault="0099072F" w:rsidP="0099072F">
      <w:pPr>
        <w:pStyle w:val="NormalWeb"/>
        <w:numPr>
          <w:ilvl w:val="0"/>
          <w:numId w:val="20"/>
        </w:numPr>
        <w:spacing w:before="0" w:beforeAutospacing="0" w:after="0" w:afterAutospacing="0"/>
        <w:jc w:val="both"/>
        <w:rPr>
          <w:rFonts w:ascii="Lato" w:hAnsi="Lato" w:cs="Tahoma"/>
          <w:bCs/>
          <w:sz w:val="20"/>
          <w:szCs w:val="20"/>
        </w:rPr>
      </w:pPr>
      <w:r>
        <w:rPr>
          <w:rFonts w:ascii="Lato" w:hAnsi="Lato" w:cs="Tahoma"/>
          <w:bCs/>
          <w:sz w:val="20"/>
          <w:szCs w:val="20"/>
        </w:rPr>
        <w:t>Que</w:t>
      </w:r>
      <w:r w:rsidR="001E678D">
        <w:rPr>
          <w:rFonts w:ascii="Lato" w:hAnsi="Lato" w:cs="Tahoma"/>
          <w:bCs/>
          <w:sz w:val="20"/>
          <w:szCs w:val="20"/>
        </w:rPr>
        <w:t xml:space="preserve"> le CFU 2025 établissant les résultats de l’exercice 2025 vient d’être approuvé par le Conseil d’Administration</w:t>
      </w:r>
      <w:r w:rsidR="00480353">
        <w:rPr>
          <w:rFonts w:ascii="Lato" w:hAnsi="Lato" w:cs="Tahoma"/>
          <w:bCs/>
          <w:sz w:val="20"/>
          <w:szCs w:val="20"/>
        </w:rPr>
        <w:t xml:space="preserve">. </w:t>
      </w:r>
    </w:p>
    <w:p w14:paraId="52B5AA31" w14:textId="77777777" w:rsidR="001E678D" w:rsidRPr="001E678D" w:rsidRDefault="001E678D" w:rsidP="001E678D">
      <w:pPr>
        <w:pStyle w:val="NormalWeb"/>
        <w:spacing w:before="0" w:beforeAutospacing="0" w:after="0" w:afterAutospacing="0"/>
        <w:rPr>
          <w:rFonts w:ascii="Lato" w:hAnsi="Lato" w:cs="Tahoma"/>
          <w:bCs/>
          <w:sz w:val="20"/>
          <w:szCs w:val="20"/>
        </w:rPr>
      </w:pP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638FCFC" w14:textId="75C6E410" w:rsidR="001E678D" w:rsidRPr="001E678D" w:rsidRDefault="001E678D" w:rsidP="001E678D">
      <w:pPr>
        <w:pStyle w:val="Paragraphedeliste"/>
        <w:numPr>
          <w:ilvl w:val="0"/>
          <w:numId w:val="21"/>
        </w:numPr>
        <w:spacing w:after="0" w:line="240" w:lineRule="auto"/>
        <w:jc w:val="both"/>
        <w:rPr>
          <w:rFonts w:ascii="Lato" w:eastAsia="Times New Roman" w:hAnsi="Lato" w:cs="Tahoma"/>
          <w:b/>
          <w:bCs/>
          <w:sz w:val="20"/>
          <w:szCs w:val="20"/>
          <w:lang w:eastAsia="fr-FR"/>
        </w:rPr>
      </w:pPr>
      <w:r w:rsidRPr="001E678D">
        <w:rPr>
          <w:rFonts w:ascii="Lato" w:eastAsia="Times New Roman" w:hAnsi="Lato" w:cs="Tahoma"/>
          <w:b/>
          <w:bCs/>
          <w:sz w:val="20"/>
          <w:szCs w:val="20"/>
          <w:lang w:eastAsia="fr-FR"/>
        </w:rPr>
        <w:t xml:space="preserve">D’affecter le résultat 2025 comme suit : </w:t>
      </w:r>
    </w:p>
    <w:p w14:paraId="39AA8039" w14:textId="77777777" w:rsidR="001E678D" w:rsidRPr="001E678D" w:rsidRDefault="001E678D" w:rsidP="003E1BB2">
      <w:pPr>
        <w:spacing w:after="0" w:line="240" w:lineRule="auto"/>
        <w:ind w:left="1134"/>
        <w:jc w:val="both"/>
        <w:rPr>
          <w:rFonts w:ascii="Lato" w:eastAsia="Times New Roman" w:hAnsi="Lato" w:cs="Tahoma"/>
          <w:b/>
          <w:bCs/>
          <w:sz w:val="20"/>
          <w:szCs w:val="20"/>
          <w:lang w:eastAsia="fr-FR"/>
        </w:rPr>
      </w:pPr>
      <w:r w:rsidRPr="001E678D">
        <w:rPr>
          <w:rFonts w:ascii="Lato" w:eastAsia="Times New Roman" w:hAnsi="Lato" w:cs="Tahoma"/>
          <w:b/>
          <w:bCs/>
          <w:sz w:val="20"/>
          <w:szCs w:val="20"/>
          <w:lang w:eastAsia="fr-FR"/>
        </w:rPr>
        <w:t>Affectation au BP 2026 :</w:t>
      </w:r>
    </w:p>
    <w:p w14:paraId="5D05D81B" w14:textId="2A3ADB5F" w:rsidR="001E678D" w:rsidRPr="001E678D" w:rsidRDefault="001E678D" w:rsidP="003E1BB2">
      <w:pPr>
        <w:spacing w:after="0" w:line="240" w:lineRule="auto"/>
        <w:ind w:left="1134" w:firstLine="282"/>
        <w:jc w:val="both"/>
        <w:rPr>
          <w:rFonts w:ascii="Lato" w:eastAsia="Times New Roman" w:hAnsi="Lato" w:cs="Tahoma"/>
          <w:b/>
          <w:bCs/>
          <w:sz w:val="20"/>
          <w:szCs w:val="20"/>
          <w:lang w:eastAsia="fr-FR"/>
        </w:rPr>
      </w:pPr>
      <w:r w:rsidRPr="001E678D">
        <w:rPr>
          <w:rFonts w:ascii="Lato" w:eastAsia="Times New Roman" w:hAnsi="Lato" w:cs="Tahoma"/>
          <w:b/>
          <w:bCs/>
          <w:sz w:val="20"/>
          <w:szCs w:val="20"/>
          <w:lang w:eastAsia="fr-FR"/>
        </w:rPr>
        <w:t>Report en investissement (R001)</w:t>
      </w:r>
      <w:r>
        <w:rPr>
          <w:rFonts w:ascii="Lato" w:eastAsia="Times New Roman" w:hAnsi="Lato" w:cs="Tahoma"/>
          <w:b/>
          <w:bCs/>
          <w:sz w:val="20"/>
          <w:szCs w:val="20"/>
          <w:lang w:eastAsia="fr-FR"/>
        </w:rPr>
        <w:t xml:space="preserve"> : </w:t>
      </w:r>
      <w:r w:rsidR="003E1BB2">
        <w:rPr>
          <w:rFonts w:ascii="Lato" w:eastAsia="Times New Roman" w:hAnsi="Lato" w:cs="Tahoma"/>
          <w:b/>
          <w:bCs/>
          <w:sz w:val="20"/>
          <w:szCs w:val="20"/>
          <w:lang w:eastAsia="fr-FR"/>
        </w:rPr>
        <w:t xml:space="preserve">    </w:t>
      </w:r>
      <w:r w:rsidRPr="001E678D">
        <w:rPr>
          <w:rFonts w:ascii="Lato" w:eastAsia="Times New Roman" w:hAnsi="Lato" w:cs="Tahoma"/>
          <w:b/>
          <w:bCs/>
          <w:sz w:val="20"/>
          <w:szCs w:val="20"/>
          <w:lang w:eastAsia="fr-FR"/>
        </w:rPr>
        <w:t>23 716,83 €</w:t>
      </w:r>
    </w:p>
    <w:p w14:paraId="1F357E13" w14:textId="5E90368E" w:rsidR="00271656" w:rsidRDefault="001E678D" w:rsidP="003E1BB2">
      <w:pPr>
        <w:spacing w:after="0" w:line="240" w:lineRule="auto"/>
        <w:ind w:left="1134" w:firstLine="282"/>
        <w:jc w:val="both"/>
        <w:rPr>
          <w:rFonts w:ascii="Lato" w:eastAsia="Times New Roman" w:hAnsi="Lato" w:cs="Tahoma"/>
          <w:b/>
          <w:bCs/>
          <w:sz w:val="20"/>
          <w:szCs w:val="20"/>
          <w:lang w:eastAsia="fr-FR"/>
        </w:rPr>
      </w:pPr>
      <w:r w:rsidRPr="001E678D">
        <w:rPr>
          <w:rFonts w:ascii="Lato" w:eastAsia="Times New Roman" w:hAnsi="Lato" w:cs="Tahoma"/>
          <w:b/>
          <w:bCs/>
          <w:sz w:val="20"/>
          <w:szCs w:val="20"/>
          <w:lang w:eastAsia="fr-FR"/>
        </w:rPr>
        <w:t>Report en fonctionnement (R002) :</w:t>
      </w:r>
      <w:r>
        <w:rPr>
          <w:rFonts w:ascii="Lato" w:eastAsia="Times New Roman" w:hAnsi="Lato" w:cs="Tahoma"/>
          <w:b/>
          <w:bCs/>
          <w:sz w:val="20"/>
          <w:szCs w:val="20"/>
          <w:lang w:eastAsia="fr-FR"/>
        </w:rPr>
        <w:t xml:space="preserve"> </w:t>
      </w:r>
      <w:r w:rsidRPr="001E678D">
        <w:rPr>
          <w:rFonts w:ascii="Lato" w:eastAsia="Times New Roman" w:hAnsi="Lato" w:cs="Tahoma"/>
          <w:b/>
          <w:bCs/>
          <w:sz w:val="20"/>
          <w:szCs w:val="20"/>
          <w:lang w:eastAsia="fr-FR"/>
        </w:rPr>
        <w:t>944 875,96 €</w:t>
      </w:r>
    </w:p>
    <w:p w14:paraId="0DC010AE" w14:textId="77777777" w:rsidR="001E678D" w:rsidRPr="00033136" w:rsidRDefault="001E678D" w:rsidP="001E678D">
      <w:pPr>
        <w:spacing w:after="0" w:line="240" w:lineRule="auto"/>
        <w:jc w:val="both"/>
      </w:pPr>
    </w:p>
    <w:p w14:paraId="7C5C9A85" w14:textId="060E4288" w:rsidR="00034C33" w:rsidRPr="00612709" w:rsidRDefault="007F2320" w:rsidP="00ED5893">
      <w:pPr>
        <w:rPr>
          <w:rFonts w:ascii="Lato" w:eastAsia="Times New Roman" w:hAnsi="Lato" w:cs="Tahoma"/>
          <w:bCs/>
          <w:sz w:val="20"/>
          <w:szCs w:val="20"/>
          <w:lang w:eastAsia="fr-FR"/>
        </w:rPr>
      </w:pPr>
      <w:r w:rsidRPr="00612709">
        <w:rPr>
          <w:rFonts w:ascii="Lato" w:eastAsia="Times New Roman" w:hAnsi="Lato" w:cs="Tahoma"/>
          <w:bCs/>
          <w:sz w:val="20"/>
          <w:szCs w:val="20"/>
          <w:lang w:eastAsia="fr-FR"/>
        </w:rPr>
        <w:t>Le Président certifie sous sa responsabilité le caractère conforme et exécutoire de cet acte</w:t>
      </w:r>
      <w:r w:rsidR="0099072F" w:rsidRPr="00612709">
        <w:rPr>
          <w:rFonts w:ascii="Lato" w:eastAsia="Times New Roman" w:hAnsi="Lato" w:cs="Tahoma"/>
          <w:bCs/>
          <w:sz w:val="20"/>
          <w:szCs w:val="20"/>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A49868D" w:rsidR="007F2320" w:rsidRPr="00817690" w:rsidRDefault="007F2320" w:rsidP="007F2320">
                            <w:pPr>
                              <w:spacing w:after="0" w:line="240" w:lineRule="auto"/>
                              <w:rPr>
                                <w:rFonts w:eastAsia="Calibri" w:cs="Arial"/>
                                <w:i/>
                                <w:sz w:val="20"/>
                                <w:szCs w:val="20"/>
                              </w:rPr>
                            </w:pPr>
                            <w:r w:rsidRPr="00817690">
                              <w:rPr>
                                <w:rFonts w:eastAsia="Calibri" w:cs="Arial"/>
                                <w:i/>
                                <w:sz w:val="20"/>
                                <w:szCs w:val="20"/>
                              </w:rPr>
                              <w:t>Adoptée à l’unanimité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A49868D" w:rsidR="007F2320" w:rsidRPr="00817690" w:rsidRDefault="007F2320" w:rsidP="007F2320">
                      <w:pPr>
                        <w:spacing w:after="0" w:line="240" w:lineRule="auto"/>
                        <w:rPr>
                          <w:rFonts w:eastAsia="Calibri" w:cs="Arial"/>
                          <w:i/>
                          <w:sz w:val="20"/>
                          <w:szCs w:val="20"/>
                        </w:rPr>
                      </w:pPr>
                      <w:r w:rsidRPr="00817690">
                        <w:rPr>
                          <w:rFonts w:eastAsia="Calibri" w:cs="Arial"/>
                          <w:i/>
                          <w:sz w:val="20"/>
                          <w:szCs w:val="20"/>
                        </w:rPr>
                        <w:t>Adoptée à l’unanimité</w:t>
                      </w: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1E678D">
      <w:pPr>
        <w:spacing w:after="0" w:line="240" w:lineRule="auto"/>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lastRenderedPageBreak/>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9C7"/>
    <w:multiLevelType w:val="hybridMultilevel"/>
    <w:tmpl w:val="DD220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7"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B1C2A"/>
    <w:multiLevelType w:val="hybridMultilevel"/>
    <w:tmpl w:val="603A19E8"/>
    <w:lvl w:ilvl="0" w:tplc="549E9562">
      <w:numFmt w:val="bullet"/>
      <w:lvlText w:val="-"/>
      <w:lvlJc w:val="left"/>
      <w:pPr>
        <w:ind w:left="1080" w:hanging="360"/>
      </w:pPr>
      <w:rPr>
        <w:rFonts w:ascii="Lato" w:eastAsia="Times New Roman" w:hAnsi="Lato"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F653BE"/>
    <w:multiLevelType w:val="hybridMultilevel"/>
    <w:tmpl w:val="30B293A6"/>
    <w:lvl w:ilvl="0" w:tplc="B4D84494">
      <w:numFmt w:val="bullet"/>
      <w:lvlText w:val="-"/>
      <w:lvlJc w:val="left"/>
      <w:pPr>
        <w:ind w:left="1440" w:hanging="360"/>
      </w:pPr>
      <w:rPr>
        <w:rFonts w:ascii="Lato" w:eastAsia="Times New Roman" w:hAnsi="Lato" w:cs="Times New Roman"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A01F7"/>
    <w:multiLevelType w:val="hybridMultilevel"/>
    <w:tmpl w:val="0C16E5F8"/>
    <w:lvl w:ilvl="0" w:tplc="F50C9386">
      <w:numFmt w:val="bullet"/>
      <w:lvlText w:val="-"/>
      <w:lvlJc w:val="left"/>
      <w:pPr>
        <w:ind w:left="720" w:hanging="360"/>
      </w:pPr>
      <w:rPr>
        <w:rFonts w:ascii="Lato" w:eastAsia="Times New Roman"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9"/>
  </w:num>
  <w:num w:numId="2" w16cid:durableId="363019387">
    <w:abstractNumId w:val="4"/>
  </w:num>
  <w:num w:numId="3" w16cid:durableId="2041200361">
    <w:abstractNumId w:val="17"/>
  </w:num>
  <w:num w:numId="4" w16cid:durableId="377825989">
    <w:abstractNumId w:val="2"/>
  </w:num>
  <w:num w:numId="5" w16cid:durableId="180820538">
    <w:abstractNumId w:val="2"/>
  </w:num>
  <w:num w:numId="6" w16cid:durableId="2065566980">
    <w:abstractNumId w:val="7"/>
  </w:num>
  <w:num w:numId="7" w16cid:durableId="2013098621">
    <w:abstractNumId w:val="13"/>
  </w:num>
  <w:num w:numId="8" w16cid:durableId="306934749">
    <w:abstractNumId w:val="3"/>
  </w:num>
  <w:num w:numId="9" w16cid:durableId="1943679398">
    <w:abstractNumId w:val="5"/>
  </w:num>
  <w:num w:numId="10" w16cid:durableId="1589926201">
    <w:abstractNumId w:val="9"/>
  </w:num>
  <w:num w:numId="11" w16cid:durableId="1514688311">
    <w:abstractNumId w:val="6"/>
  </w:num>
  <w:num w:numId="12" w16cid:durableId="193738898">
    <w:abstractNumId w:val="10"/>
  </w:num>
  <w:num w:numId="13" w16cid:durableId="928924685">
    <w:abstractNumId w:val="15"/>
  </w:num>
  <w:num w:numId="14" w16cid:durableId="1522166681">
    <w:abstractNumId w:val="12"/>
  </w:num>
  <w:num w:numId="15" w16cid:durableId="1165323953">
    <w:abstractNumId w:val="16"/>
  </w:num>
  <w:num w:numId="16" w16cid:durableId="25832837">
    <w:abstractNumId w:val="18"/>
  </w:num>
  <w:num w:numId="17" w16cid:durableId="348603195">
    <w:abstractNumId w:val="1"/>
  </w:num>
  <w:num w:numId="18" w16cid:durableId="512763039">
    <w:abstractNumId w:val="8"/>
  </w:num>
  <w:num w:numId="19" w16cid:durableId="1159544174">
    <w:abstractNumId w:val="11"/>
  </w:num>
  <w:num w:numId="20" w16cid:durableId="924804048">
    <w:abstractNumId w:val="14"/>
  </w:num>
  <w:num w:numId="21" w16cid:durableId="66250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91316"/>
    <w:rsid w:val="000A2EB0"/>
    <w:rsid w:val="000B519B"/>
    <w:rsid w:val="000D006F"/>
    <w:rsid w:val="000F6403"/>
    <w:rsid w:val="00121D67"/>
    <w:rsid w:val="0014686C"/>
    <w:rsid w:val="001478BB"/>
    <w:rsid w:val="00160894"/>
    <w:rsid w:val="00163160"/>
    <w:rsid w:val="00176E28"/>
    <w:rsid w:val="00183E67"/>
    <w:rsid w:val="001842A4"/>
    <w:rsid w:val="001C1FEB"/>
    <w:rsid w:val="001D712B"/>
    <w:rsid w:val="001E678D"/>
    <w:rsid w:val="00203210"/>
    <w:rsid w:val="00210158"/>
    <w:rsid w:val="00212FBD"/>
    <w:rsid w:val="002140D7"/>
    <w:rsid w:val="002304AC"/>
    <w:rsid w:val="00233206"/>
    <w:rsid w:val="00271656"/>
    <w:rsid w:val="00291301"/>
    <w:rsid w:val="002A2CF8"/>
    <w:rsid w:val="002A4C48"/>
    <w:rsid w:val="002F1CA6"/>
    <w:rsid w:val="00323577"/>
    <w:rsid w:val="00324A01"/>
    <w:rsid w:val="00330715"/>
    <w:rsid w:val="0033209D"/>
    <w:rsid w:val="00334441"/>
    <w:rsid w:val="00336BD8"/>
    <w:rsid w:val="003457E0"/>
    <w:rsid w:val="0035740B"/>
    <w:rsid w:val="00364CED"/>
    <w:rsid w:val="00381766"/>
    <w:rsid w:val="003831BA"/>
    <w:rsid w:val="0038466D"/>
    <w:rsid w:val="003850E3"/>
    <w:rsid w:val="00387F1F"/>
    <w:rsid w:val="003B7EFD"/>
    <w:rsid w:val="003C3444"/>
    <w:rsid w:val="003E1BB2"/>
    <w:rsid w:val="0040009D"/>
    <w:rsid w:val="0040137E"/>
    <w:rsid w:val="0041424A"/>
    <w:rsid w:val="00453016"/>
    <w:rsid w:val="00480353"/>
    <w:rsid w:val="00481D3B"/>
    <w:rsid w:val="00485A3C"/>
    <w:rsid w:val="0049685F"/>
    <w:rsid w:val="004C1F8A"/>
    <w:rsid w:val="004F142F"/>
    <w:rsid w:val="004F4D32"/>
    <w:rsid w:val="0051725A"/>
    <w:rsid w:val="0054656C"/>
    <w:rsid w:val="005A0CAD"/>
    <w:rsid w:val="005D312C"/>
    <w:rsid w:val="00612709"/>
    <w:rsid w:val="00661983"/>
    <w:rsid w:val="00666996"/>
    <w:rsid w:val="006B11C1"/>
    <w:rsid w:val="006C7A72"/>
    <w:rsid w:val="006D188F"/>
    <w:rsid w:val="006D2BD3"/>
    <w:rsid w:val="006D3B2D"/>
    <w:rsid w:val="00720DBC"/>
    <w:rsid w:val="00752A99"/>
    <w:rsid w:val="00793115"/>
    <w:rsid w:val="007A442E"/>
    <w:rsid w:val="007C3E13"/>
    <w:rsid w:val="007D2D9E"/>
    <w:rsid w:val="007E5057"/>
    <w:rsid w:val="007F2320"/>
    <w:rsid w:val="007F250D"/>
    <w:rsid w:val="0080049B"/>
    <w:rsid w:val="00800FFA"/>
    <w:rsid w:val="00807939"/>
    <w:rsid w:val="00811732"/>
    <w:rsid w:val="00817690"/>
    <w:rsid w:val="0087095B"/>
    <w:rsid w:val="0088509F"/>
    <w:rsid w:val="008A6624"/>
    <w:rsid w:val="008B725F"/>
    <w:rsid w:val="008D117E"/>
    <w:rsid w:val="008D4374"/>
    <w:rsid w:val="0090235D"/>
    <w:rsid w:val="00924986"/>
    <w:rsid w:val="00953E09"/>
    <w:rsid w:val="00965E73"/>
    <w:rsid w:val="00971AA9"/>
    <w:rsid w:val="009823C3"/>
    <w:rsid w:val="0098271C"/>
    <w:rsid w:val="0099072F"/>
    <w:rsid w:val="009956B0"/>
    <w:rsid w:val="009A2915"/>
    <w:rsid w:val="009A5A19"/>
    <w:rsid w:val="009D02FF"/>
    <w:rsid w:val="009F0223"/>
    <w:rsid w:val="00A207C9"/>
    <w:rsid w:val="00A27856"/>
    <w:rsid w:val="00A51579"/>
    <w:rsid w:val="00A67685"/>
    <w:rsid w:val="00B10B5F"/>
    <w:rsid w:val="00B13816"/>
    <w:rsid w:val="00B20FC9"/>
    <w:rsid w:val="00B2675E"/>
    <w:rsid w:val="00B27BE5"/>
    <w:rsid w:val="00B627DA"/>
    <w:rsid w:val="00B83028"/>
    <w:rsid w:val="00B9559C"/>
    <w:rsid w:val="00BB38AD"/>
    <w:rsid w:val="00BC560F"/>
    <w:rsid w:val="00BE25EB"/>
    <w:rsid w:val="00C22E81"/>
    <w:rsid w:val="00C24ADC"/>
    <w:rsid w:val="00C26EC1"/>
    <w:rsid w:val="00C47AA7"/>
    <w:rsid w:val="00CC3EA3"/>
    <w:rsid w:val="00CC5338"/>
    <w:rsid w:val="00CC5386"/>
    <w:rsid w:val="00CD0C2B"/>
    <w:rsid w:val="00CD4092"/>
    <w:rsid w:val="00D26A4B"/>
    <w:rsid w:val="00D37A55"/>
    <w:rsid w:val="00D454A4"/>
    <w:rsid w:val="00D80935"/>
    <w:rsid w:val="00DD3DF3"/>
    <w:rsid w:val="00DF7868"/>
    <w:rsid w:val="00E01E88"/>
    <w:rsid w:val="00E11AD5"/>
    <w:rsid w:val="00E47A3E"/>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26FF2"/>
    <w:rsid w:val="00F373CD"/>
    <w:rsid w:val="00F44CA1"/>
    <w:rsid w:val="00F679F9"/>
    <w:rsid w:val="00F82F27"/>
    <w:rsid w:val="00F83944"/>
    <w:rsid w:val="00FA13B7"/>
    <w:rsid w:val="00FB3F4E"/>
    <w:rsid w:val="00FC22AC"/>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447</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22</cp:revision>
  <cp:lastPrinted>2026-06-16T06:01:00Z</cp:lastPrinted>
  <dcterms:created xsi:type="dcterms:W3CDTF">2026-05-13T12:13:00Z</dcterms:created>
  <dcterms:modified xsi:type="dcterms:W3CDTF">2026-06-16T06:01:00Z</dcterms:modified>
</cp:coreProperties>
</file>