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41" w:rsidRDefault="00457541" w:rsidP="00457541">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457541" w:rsidRPr="001D4FFE" w:rsidRDefault="00457541" w:rsidP="00457541">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210B23">
        <w:rPr>
          <w:rFonts w:ascii="Lato" w:eastAsia="Calibri" w:hAnsi="Lato" w:cs="Times New Roman"/>
          <w:b/>
          <w:sz w:val="20"/>
          <w:szCs w:val="20"/>
        </w:rPr>
        <w:t>10</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720DBC">
      <w:pPr>
        <w:spacing w:after="0" w:line="240" w:lineRule="auto"/>
        <w:jc w:val="both"/>
        <w:rPr>
          <w:rFonts w:ascii="Lato" w:hAnsi="Lato" w:cs="Arial"/>
          <w:color w:val="FF0000"/>
          <w:sz w:val="20"/>
          <w:szCs w:val="20"/>
        </w:rPr>
      </w:pPr>
    </w:p>
    <w:p w:rsidR="002B5550" w:rsidRPr="00C24ADC" w:rsidRDefault="002B5550"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Conseil d’Administration du 2</w:t>
      </w:r>
      <w:r w:rsidR="00953E09">
        <w:rPr>
          <w:rFonts w:ascii="Lato" w:hAnsi="Lato"/>
          <w:b/>
          <w:sz w:val="20"/>
          <w:szCs w:val="20"/>
        </w:rPr>
        <w:t>5</w:t>
      </w:r>
      <w:r>
        <w:rPr>
          <w:rFonts w:ascii="Lato" w:hAnsi="Lato"/>
          <w:b/>
          <w:sz w:val="20"/>
          <w:szCs w:val="20"/>
        </w:rPr>
        <w:t xml:space="preserve"> mars 202</w:t>
      </w:r>
      <w:r w:rsidR="00953E09">
        <w:rPr>
          <w:rFonts w:ascii="Lato" w:hAnsi="Lato"/>
          <w:b/>
          <w:sz w:val="20"/>
          <w:szCs w:val="20"/>
        </w:rPr>
        <w:t>5</w:t>
      </w:r>
    </w:p>
    <w:p w:rsidR="00015009" w:rsidRDefault="00015009" w:rsidP="00015009">
      <w:pPr>
        <w:spacing w:after="0" w:line="240" w:lineRule="auto"/>
        <w:jc w:val="center"/>
        <w:rPr>
          <w:rFonts w:ascii="Lato" w:hAnsi="Lato"/>
          <w:b/>
          <w:sz w:val="20"/>
          <w:szCs w:val="20"/>
        </w:rPr>
      </w:pPr>
    </w:p>
    <w:p w:rsidR="002B5550" w:rsidRDefault="002B5550" w:rsidP="00015009">
      <w:pPr>
        <w:spacing w:after="0" w:line="240" w:lineRule="auto"/>
        <w:jc w:val="center"/>
        <w:rPr>
          <w:rFonts w:ascii="Lato" w:hAnsi="Lato"/>
          <w:b/>
          <w:sz w:val="20"/>
          <w:szCs w:val="20"/>
        </w:rPr>
      </w:pPr>
    </w:p>
    <w:p w:rsidR="00A207C9" w:rsidRDefault="00A207C9" w:rsidP="00A207C9">
      <w:pPr>
        <w:spacing w:after="0" w:line="240" w:lineRule="auto"/>
        <w:jc w:val="both"/>
        <w:rPr>
          <w:rFonts w:ascii="Lato" w:hAnsi="Lato"/>
          <w:sz w:val="20"/>
          <w:szCs w:val="20"/>
        </w:rPr>
      </w:pPr>
      <w:r>
        <w:rPr>
          <w:rFonts w:ascii="Lato" w:hAnsi="Lato"/>
          <w:sz w:val="20"/>
          <w:szCs w:val="20"/>
        </w:rPr>
        <w:t>L’an 202</w:t>
      </w:r>
      <w:r w:rsidR="00953E09">
        <w:rPr>
          <w:rFonts w:ascii="Lato" w:hAnsi="Lato"/>
          <w:sz w:val="20"/>
          <w:szCs w:val="20"/>
        </w:rPr>
        <w:t>5</w:t>
      </w:r>
      <w:r>
        <w:rPr>
          <w:rFonts w:ascii="Lato" w:hAnsi="Lato"/>
          <w:sz w:val="20"/>
          <w:szCs w:val="20"/>
        </w:rPr>
        <w:t>, le 2</w:t>
      </w:r>
      <w:r w:rsidR="00953E09">
        <w:rPr>
          <w:rFonts w:ascii="Lato" w:hAnsi="Lato"/>
          <w:sz w:val="20"/>
          <w:szCs w:val="20"/>
        </w:rPr>
        <w:t>5</w:t>
      </w:r>
      <w:r>
        <w:rPr>
          <w:rFonts w:ascii="Lato" w:hAnsi="Lato"/>
          <w:sz w:val="20"/>
          <w:szCs w:val="20"/>
        </w:rPr>
        <w:t xml:space="preserve"> mars à 14H00, le Conseil d’Administration de l’Agence Départementale Aveyron Ingénierie, s’est réuni dans les locaux du Conseil départemental, salle Ségala à Rodez, sous la présidence de Monsieur Arnaud VIALA, Président de l’Agence Départementale. </w:t>
      </w:r>
    </w:p>
    <w:p w:rsidR="00A207C9" w:rsidRDefault="00A207C9" w:rsidP="00A207C9">
      <w:pPr>
        <w:spacing w:after="0" w:line="240" w:lineRule="auto"/>
        <w:jc w:val="both"/>
        <w:rPr>
          <w:rFonts w:ascii="Lato" w:eastAsia="Calibri" w:hAnsi="Lato" w:cs="Times New Roman"/>
          <w:color w:val="FF0000"/>
          <w:sz w:val="20"/>
          <w:szCs w:val="20"/>
        </w:rPr>
      </w:pPr>
    </w:p>
    <w:p w:rsidR="0038340C" w:rsidRPr="00247B0E" w:rsidRDefault="0038340C" w:rsidP="0038340C">
      <w:pPr>
        <w:spacing w:after="0" w:line="240" w:lineRule="auto"/>
        <w:jc w:val="both"/>
        <w:rPr>
          <w:rFonts w:ascii="Lato" w:hAnsi="Lato" w:cs="Arial"/>
          <w:sz w:val="20"/>
          <w:szCs w:val="20"/>
        </w:rPr>
      </w:pPr>
      <w:r>
        <w:rPr>
          <w:rFonts w:ascii="Lato" w:hAnsi="Lato"/>
          <w:sz w:val="20"/>
          <w:szCs w:val="20"/>
        </w:rPr>
        <w:t xml:space="preserve">18 membres étaient présents : </w:t>
      </w:r>
      <w:r w:rsidRPr="00247B0E">
        <w:rPr>
          <w:rFonts w:ascii="Lato" w:hAnsi="Lato"/>
          <w:sz w:val="20"/>
          <w:szCs w:val="20"/>
        </w:rPr>
        <w:t xml:space="preserve">M. Arnaud VIALA, M. André AT, </w:t>
      </w:r>
      <w:r w:rsidRPr="00247B0E">
        <w:rPr>
          <w:rFonts w:ascii="Lato" w:hAnsi="Lato" w:cs="Arial"/>
          <w:sz w:val="20"/>
          <w:szCs w:val="20"/>
        </w:rPr>
        <w:t>Mme Virginie FIR</w:t>
      </w:r>
      <w:r w:rsidR="00247B0E">
        <w:rPr>
          <w:rFonts w:ascii="Lato" w:hAnsi="Lato" w:cs="Arial"/>
          <w:sz w:val="20"/>
          <w:szCs w:val="20"/>
        </w:rPr>
        <w:t>MIN, Mme Michèle BUESSINGER, M. </w:t>
      </w:r>
      <w:r w:rsidRPr="00247B0E">
        <w:rPr>
          <w:rFonts w:ascii="Lato" w:hAnsi="Lato" w:cs="Arial"/>
          <w:sz w:val="20"/>
          <w:szCs w:val="20"/>
        </w:rPr>
        <w:t xml:space="preserve">Christian TIEULIE, Mme Francine LAFON, Mme Valérie ABADIE-ROQUES, M. Serge JULIEN, Mme Christine PRESNE, M. Jean-Pierre MASBOU, Mme Gisèle RIGAL, </w:t>
      </w:r>
      <w:r w:rsidR="00247B0E" w:rsidRPr="00247B0E">
        <w:rPr>
          <w:rFonts w:ascii="Lato" w:hAnsi="Lato" w:cs="Arial"/>
          <w:sz w:val="20"/>
          <w:szCs w:val="20"/>
        </w:rPr>
        <w:t xml:space="preserve">M. Jean-Louis GRIMAL, </w:t>
      </w:r>
      <w:r w:rsidRPr="00247B0E">
        <w:rPr>
          <w:rFonts w:ascii="Lato" w:hAnsi="Lato" w:cs="Arial"/>
          <w:sz w:val="20"/>
          <w:szCs w:val="20"/>
        </w:rPr>
        <w:t xml:space="preserve">M. André BORIES, M. Yves REGOURD, </w:t>
      </w:r>
      <w:r w:rsidR="00247B0E">
        <w:rPr>
          <w:rFonts w:ascii="Lato" w:hAnsi="Lato" w:cs="Arial"/>
          <w:sz w:val="20"/>
          <w:szCs w:val="20"/>
        </w:rPr>
        <w:t>Mme </w:t>
      </w:r>
      <w:r w:rsidRPr="00247B0E">
        <w:rPr>
          <w:rFonts w:ascii="Lato" w:hAnsi="Lato" w:cs="Arial"/>
          <w:sz w:val="20"/>
          <w:szCs w:val="20"/>
        </w:rPr>
        <w:t xml:space="preserve">Magali BESSAOU, M. Michel CAUSSE, M. Jean-Marie LACOMBE, </w:t>
      </w:r>
      <w:r w:rsidR="00247B0E">
        <w:rPr>
          <w:rFonts w:ascii="Lato" w:hAnsi="Lato" w:cs="Arial"/>
          <w:sz w:val="20"/>
          <w:szCs w:val="20"/>
        </w:rPr>
        <w:t>M. Jacques BARBEZANGE.</w:t>
      </w:r>
    </w:p>
    <w:p w:rsidR="0038340C" w:rsidRPr="00247B0E" w:rsidRDefault="0038340C" w:rsidP="0038340C">
      <w:pPr>
        <w:spacing w:after="0" w:line="240" w:lineRule="auto"/>
        <w:jc w:val="both"/>
        <w:rPr>
          <w:rFonts w:ascii="Lato" w:hAnsi="Lato" w:cs="Arial"/>
          <w:sz w:val="20"/>
          <w:szCs w:val="20"/>
        </w:rPr>
      </w:pPr>
    </w:p>
    <w:p w:rsidR="0038340C" w:rsidRPr="00247B0E" w:rsidRDefault="0038340C" w:rsidP="0038340C">
      <w:pPr>
        <w:spacing w:after="0" w:line="240" w:lineRule="auto"/>
        <w:jc w:val="both"/>
        <w:rPr>
          <w:rFonts w:ascii="Lato" w:hAnsi="Lato" w:cs="Arial"/>
          <w:sz w:val="20"/>
          <w:szCs w:val="20"/>
        </w:rPr>
      </w:pPr>
    </w:p>
    <w:p w:rsidR="0038340C" w:rsidRPr="00247B0E" w:rsidRDefault="00247B0E" w:rsidP="0038340C">
      <w:pPr>
        <w:spacing w:after="0" w:line="240" w:lineRule="auto"/>
        <w:jc w:val="both"/>
        <w:rPr>
          <w:rFonts w:ascii="Lato" w:hAnsi="Lato" w:cs="Arial"/>
          <w:sz w:val="20"/>
          <w:szCs w:val="20"/>
        </w:rPr>
      </w:pPr>
      <w:r w:rsidRPr="00247B0E">
        <w:rPr>
          <w:rFonts w:ascii="Lato" w:hAnsi="Lato" w:cs="Arial"/>
          <w:sz w:val="20"/>
          <w:szCs w:val="20"/>
        </w:rPr>
        <w:t>6</w:t>
      </w:r>
      <w:r w:rsidR="0038340C" w:rsidRPr="00247B0E">
        <w:rPr>
          <w:rFonts w:ascii="Lato" w:hAnsi="Lato" w:cs="Arial"/>
          <w:sz w:val="20"/>
          <w:szCs w:val="20"/>
        </w:rPr>
        <w:t xml:space="preserve"> membres avaient donné pouvoir : Mme Annie CAZARD à Mme Christine PRESNE, M. Alain DELMAS à M. </w:t>
      </w:r>
      <w:r w:rsidRPr="00247B0E">
        <w:rPr>
          <w:rFonts w:ascii="Lato" w:hAnsi="Lato" w:cs="Arial"/>
          <w:sz w:val="20"/>
          <w:szCs w:val="20"/>
        </w:rPr>
        <w:t xml:space="preserve">Yves REGOURD, </w:t>
      </w:r>
      <w:r w:rsidR="0038340C" w:rsidRPr="00247B0E">
        <w:rPr>
          <w:rFonts w:ascii="Lato" w:hAnsi="Lato" w:cs="Arial"/>
          <w:sz w:val="20"/>
          <w:szCs w:val="20"/>
        </w:rPr>
        <w:t>Mme Hélène RIVIERE à Mme Michèle BUESSINGER,</w:t>
      </w:r>
      <w:r w:rsidRPr="00247B0E">
        <w:rPr>
          <w:rFonts w:ascii="Lato" w:hAnsi="Lato" w:cs="Arial"/>
          <w:sz w:val="20"/>
          <w:szCs w:val="20"/>
        </w:rPr>
        <w:t xml:space="preserve"> Mme Geneviève GASC BARES à M. Jean-Louis GRIMAL, M. Pierre PLAGNARD à Michel CAUSSE, M. Jean-Eudes LE MEIGNEN à Jean-Marie LACOMBE.</w:t>
      </w:r>
    </w:p>
    <w:p w:rsidR="0038340C" w:rsidRPr="00247B0E" w:rsidRDefault="0038340C" w:rsidP="0038340C">
      <w:pPr>
        <w:spacing w:after="0" w:line="240" w:lineRule="auto"/>
        <w:jc w:val="both"/>
        <w:rPr>
          <w:rFonts w:ascii="Lato" w:hAnsi="Lato" w:cs="Arial"/>
          <w:sz w:val="20"/>
          <w:szCs w:val="20"/>
        </w:rPr>
      </w:pPr>
    </w:p>
    <w:p w:rsidR="0038340C" w:rsidRPr="009636FA" w:rsidRDefault="0038340C" w:rsidP="0038340C">
      <w:pPr>
        <w:spacing w:after="0" w:line="240" w:lineRule="auto"/>
        <w:jc w:val="both"/>
        <w:rPr>
          <w:rFonts w:ascii="Lato" w:hAnsi="Lato" w:cs="Arial"/>
          <w:sz w:val="20"/>
          <w:szCs w:val="20"/>
        </w:rPr>
      </w:pPr>
      <w:r w:rsidRPr="00247B0E">
        <w:rPr>
          <w:rFonts w:ascii="Lato" w:hAnsi="Lato" w:cs="Arial"/>
          <w:sz w:val="20"/>
          <w:szCs w:val="20"/>
        </w:rPr>
        <w:t>4 membres é</w:t>
      </w:r>
      <w:r w:rsidR="00247B0E" w:rsidRPr="00247B0E">
        <w:rPr>
          <w:rFonts w:ascii="Lato" w:hAnsi="Lato" w:cs="Arial"/>
          <w:sz w:val="20"/>
          <w:szCs w:val="20"/>
        </w:rPr>
        <w:t>taient absents et excusés :</w:t>
      </w:r>
      <w:r w:rsidR="00247B0E">
        <w:rPr>
          <w:rFonts w:ascii="Lato" w:hAnsi="Lato" w:cs="Arial"/>
          <w:sz w:val="20"/>
          <w:szCs w:val="20"/>
        </w:rPr>
        <w:t xml:space="preserve"> </w:t>
      </w:r>
      <w:r w:rsidRPr="00247B0E">
        <w:rPr>
          <w:rFonts w:ascii="Lato" w:hAnsi="Lato" w:cs="Arial"/>
          <w:sz w:val="20"/>
          <w:szCs w:val="20"/>
        </w:rPr>
        <w:t>M. Christophe LABORIE, M. Jacques MOLIERES, M. Jean-Luc CALMELLY,</w:t>
      </w:r>
      <w:r w:rsidR="00247B0E" w:rsidRPr="00247B0E">
        <w:rPr>
          <w:rFonts w:ascii="Lato" w:hAnsi="Lato" w:cs="Arial"/>
          <w:sz w:val="20"/>
          <w:szCs w:val="20"/>
        </w:rPr>
        <w:t xml:space="preserve"> </w:t>
      </w:r>
      <w:r w:rsidR="00247B0E">
        <w:rPr>
          <w:rFonts w:ascii="Lato" w:hAnsi="Lato" w:cs="Arial"/>
          <w:sz w:val="20"/>
          <w:szCs w:val="20"/>
        </w:rPr>
        <w:t>M. </w:t>
      </w:r>
      <w:r w:rsidR="00247B0E" w:rsidRPr="00247B0E">
        <w:rPr>
          <w:rFonts w:ascii="Lato" w:hAnsi="Lato" w:cs="Arial"/>
          <w:sz w:val="20"/>
          <w:szCs w:val="20"/>
        </w:rPr>
        <w:t>Jean-Marc CALVET</w:t>
      </w:r>
      <w:r w:rsidR="00247B0E">
        <w:rPr>
          <w:rFonts w:ascii="Lato" w:hAnsi="Lato" w:cs="Arial"/>
          <w:sz w:val="20"/>
          <w:szCs w:val="20"/>
        </w:rPr>
        <w:t>.</w:t>
      </w:r>
    </w:p>
    <w:p w:rsidR="0038340C" w:rsidRDefault="0038340C" w:rsidP="0038340C">
      <w:pPr>
        <w:spacing w:after="0" w:line="240" w:lineRule="auto"/>
        <w:jc w:val="both"/>
        <w:rPr>
          <w:rFonts w:ascii="Lato" w:hAnsi="Lato" w:cs="Arial"/>
          <w:sz w:val="20"/>
          <w:szCs w:val="20"/>
        </w:rPr>
      </w:pPr>
    </w:p>
    <w:p w:rsidR="00D37A55" w:rsidRDefault="00D37A55" w:rsidP="00D37A55">
      <w:pPr>
        <w:spacing w:after="0" w:line="240" w:lineRule="auto"/>
        <w:rPr>
          <w:rFonts w:ascii="Lato" w:eastAsia="Times New Roman" w:hAnsi="Lato" w:cs="Arial"/>
          <w:b/>
          <w:sz w:val="20"/>
          <w:szCs w:val="20"/>
          <w:lang w:eastAsia="fr-FR"/>
        </w:rPr>
      </w:pPr>
    </w:p>
    <w:p w:rsidR="008D0708" w:rsidRPr="00C24ADC" w:rsidRDefault="008D0708" w:rsidP="00D37A55">
      <w:pPr>
        <w:spacing w:after="0" w:line="240" w:lineRule="auto"/>
        <w:rPr>
          <w:rFonts w:ascii="Lato" w:eastAsia="Times New Roman" w:hAnsi="Lato" w:cs="Arial"/>
          <w:b/>
          <w:sz w:val="20"/>
          <w:szCs w:val="20"/>
          <w:lang w:eastAsia="fr-FR"/>
        </w:rPr>
      </w:pPr>
    </w:p>
    <w:p w:rsidR="0049685F" w:rsidRDefault="00334441" w:rsidP="0049685F">
      <w:pPr>
        <w:spacing w:after="160" w:line="252" w:lineRule="auto"/>
        <w:contextualSpacing/>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Objet :</w:t>
      </w:r>
      <w:r w:rsidR="0049685F" w:rsidRPr="0049685F">
        <w:rPr>
          <w:rFonts w:ascii="Lato" w:hAnsi="Lato" w:cs="Tahoma"/>
          <w:b/>
          <w:u w:val="single"/>
        </w:rPr>
        <w:t xml:space="preserve"> </w:t>
      </w:r>
      <w:r w:rsidR="00015009">
        <w:rPr>
          <w:rFonts w:ascii="Lato" w:eastAsia="Calibri" w:hAnsi="Lato" w:cs="Arial"/>
          <w:b/>
          <w:sz w:val="20"/>
          <w:szCs w:val="20"/>
        </w:rPr>
        <w:t>Budget Primitif 202</w:t>
      </w:r>
      <w:r w:rsidR="00953E09">
        <w:rPr>
          <w:rFonts w:ascii="Lato" w:eastAsia="Calibri" w:hAnsi="Lato" w:cs="Arial"/>
          <w:b/>
          <w:sz w:val="20"/>
          <w:szCs w:val="20"/>
        </w:rPr>
        <w:t>5</w:t>
      </w:r>
    </w:p>
    <w:p w:rsidR="00924986" w:rsidRDefault="00924986" w:rsidP="0049685F">
      <w:pPr>
        <w:spacing w:after="160" w:line="252" w:lineRule="auto"/>
        <w:contextualSpacing/>
        <w:jc w:val="both"/>
        <w:rPr>
          <w:rFonts w:ascii="Lato" w:eastAsia="Times New Roman" w:hAnsi="Lato" w:cstheme="minorHAnsi"/>
          <w:b/>
          <w:sz w:val="20"/>
          <w:szCs w:val="20"/>
          <w:lang w:eastAsia="fr-FR"/>
        </w:rPr>
      </w:pPr>
    </w:p>
    <w:p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Vu</w:t>
      </w:r>
      <w:r w:rsidRPr="008E56BA">
        <w:rPr>
          <w:rFonts w:ascii="Lato" w:hAnsi="Lato"/>
          <w:sz w:val="20"/>
          <w:szCs w:val="20"/>
        </w:rPr>
        <w:t xml:space="preserve"> le rapport présenté par le Président, annexé à la présente ;</w:t>
      </w:r>
    </w:p>
    <w:p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Vu</w:t>
      </w:r>
      <w:r w:rsidRPr="008E56BA">
        <w:rPr>
          <w:rFonts w:ascii="Lato" w:hAnsi="Lato"/>
          <w:sz w:val="20"/>
          <w:szCs w:val="20"/>
        </w:rPr>
        <w:t xml:space="preserve"> le règlement budgétaire et financier d’Aveyron Ingénierie ;</w:t>
      </w:r>
    </w:p>
    <w:p w:rsidR="008E56BA" w:rsidRPr="008E56BA" w:rsidRDefault="008E56BA" w:rsidP="008E56BA">
      <w:pPr>
        <w:pStyle w:val="NormalWeb"/>
        <w:jc w:val="both"/>
        <w:rPr>
          <w:rFonts w:ascii="Lato" w:hAnsi="Lato"/>
          <w:sz w:val="20"/>
          <w:szCs w:val="20"/>
        </w:rPr>
      </w:pPr>
      <w:r w:rsidRPr="008E56BA">
        <w:rPr>
          <w:rFonts w:ascii="Lato" w:hAnsi="Lato"/>
          <w:sz w:val="20"/>
          <w:szCs w:val="20"/>
        </w:rPr>
        <w:t>Après avoir entendu le Président qui présente et explique aux membres du Conseil d’Administration le rapport budgétaire pour l’année 2025, établi sur la base des orientations actées lors du Débat d’Orientations Budgétaires du 11 février 2025;</w:t>
      </w:r>
    </w:p>
    <w:p w:rsidR="008E56BA" w:rsidRDefault="008E56BA" w:rsidP="008E56BA">
      <w:pPr>
        <w:pStyle w:val="NormalWeb"/>
        <w:jc w:val="both"/>
        <w:rPr>
          <w:rFonts w:ascii="Lato" w:hAnsi="Lato"/>
          <w:sz w:val="20"/>
          <w:szCs w:val="20"/>
        </w:rPr>
      </w:pPr>
      <w:r w:rsidRPr="008E56BA">
        <w:rPr>
          <w:rFonts w:ascii="Lato" w:hAnsi="Lato"/>
          <w:sz w:val="20"/>
          <w:szCs w:val="20"/>
        </w:rPr>
        <w:t>Monsieur le Président propose aux membres du Conseil d’Administration d’adopter le projet de Budget Primitif 2025 et précise que le mode de vote du Budget est par chapitre et par nature.</w:t>
      </w:r>
    </w:p>
    <w:p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Considérant</w:t>
      </w:r>
      <w:r w:rsidRPr="008E56BA">
        <w:rPr>
          <w:rFonts w:ascii="Lato" w:hAnsi="Lato"/>
          <w:sz w:val="20"/>
          <w:szCs w:val="20"/>
        </w:rPr>
        <w:t xml:space="preserve"> que</w:t>
      </w:r>
      <w:r w:rsidR="00B96CDC">
        <w:rPr>
          <w:rFonts w:ascii="Lato" w:hAnsi="Lato"/>
          <w:sz w:val="20"/>
          <w:szCs w:val="20"/>
        </w:rPr>
        <w:t xml:space="preserve"> </w:t>
      </w:r>
      <w:r w:rsidRPr="008E56BA">
        <w:rPr>
          <w:rFonts w:ascii="Lato" w:hAnsi="Lato"/>
          <w:sz w:val="20"/>
          <w:szCs w:val="20"/>
        </w:rPr>
        <w:t>la nomenclature M57 permet à l’exécutif de procéder à des mouvements de crédits de chapitre à chapitre (hors dépenses de personnel), au sein de la même section (investissement ou fonctionnement), dans la limite de 7,5 % des dépenses réelles de chacune de ces sections ;</w:t>
      </w:r>
    </w:p>
    <w:p w:rsidR="008E56BA" w:rsidRPr="008E56BA" w:rsidRDefault="008E56BA" w:rsidP="008E56BA">
      <w:pPr>
        <w:pStyle w:val="NormalWeb"/>
        <w:jc w:val="both"/>
        <w:rPr>
          <w:rFonts w:ascii="Lato" w:hAnsi="Lato"/>
          <w:sz w:val="20"/>
          <w:szCs w:val="20"/>
        </w:rPr>
      </w:pPr>
      <w:r w:rsidRPr="008E56BA">
        <w:rPr>
          <w:rStyle w:val="lev"/>
          <w:rFonts w:ascii="Lato" w:hAnsi="Lato"/>
          <w:sz w:val="20"/>
          <w:szCs w:val="20"/>
        </w:rPr>
        <w:t>Considérant</w:t>
      </w:r>
      <w:r w:rsidRPr="008E56BA">
        <w:rPr>
          <w:rFonts w:ascii="Lato" w:hAnsi="Lato"/>
          <w:sz w:val="20"/>
          <w:szCs w:val="20"/>
        </w:rPr>
        <w:t xml:space="preserve"> que ces mouvements de crédits ne doivent pas aboutir à ce que les crédits nécessaires au règlement des dépenses obligatoires soient insuffisants sur un chapitre ;</w:t>
      </w:r>
    </w:p>
    <w:p w:rsidR="008E56BA" w:rsidRPr="008E56BA" w:rsidRDefault="008E56BA" w:rsidP="008E56BA">
      <w:pPr>
        <w:pStyle w:val="NormalWeb"/>
        <w:jc w:val="both"/>
        <w:rPr>
          <w:rFonts w:ascii="Lato" w:hAnsi="Lato"/>
          <w:sz w:val="20"/>
          <w:szCs w:val="20"/>
        </w:rPr>
      </w:pPr>
      <w:r w:rsidRPr="008E56BA">
        <w:rPr>
          <w:rFonts w:ascii="Lato" w:hAnsi="Lato"/>
          <w:sz w:val="20"/>
          <w:szCs w:val="20"/>
        </w:rPr>
        <w:t>Le Conseil d’Administration, après en avoir délibéré, décide :</w:t>
      </w:r>
    </w:p>
    <w:p w:rsidR="008E56BA" w:rsidRDefault="008E56BA" w:rsidP="00994205">
      <w:pPr>
        <w:pStyle w:val="NormalWeb"/>
        <w:numPr>
          <w:ilvl w:val="0"/>
          <w:numId w:val="14"/>
        </w:numPr>
        <w:jc w:val="both"/>
        <w:rPr>
          <w:rFonts w:ascii="Lato" w:hAnsi="Lato"/>
          <w:sz w:val="20"/>
          <w:szCs w:val="20"/>
        </w:rPr>
      </w:pPr>
      <w:r w:rsidRPr="008E56BA">
        <w:rPr>
          <w:rStyle w:val="lev"/>
          <w:rFonts w:ascii="Lato" w:hAnsi="Lato"/>
          <w:sz w:val="20"/>
          <w:szCs w:val="20"/>
        </w:rPr>
        <w:t>D’inscrire aux budgets 2025</w:t>
      </w:r>
      <w:r w:rsidRPr="008E56BA">
        <w:rPr>
          <w:rFonts w:ascii="Lato" w:hAnsi="Lato"/>
          <w:sz w:val="20"/>
          <w:szCs w:val="20"/>
        </w:rPr>
        <w:t xml:space="preserve"> les crédits nécessaires pour pouvoir recruter un</w:t>
      </w:r>
      <w:r w:rsidR="002B5550">
        <w:rPr>
          <w:rFonts w:ascii="Lato" w:hAnsi="Lato"/>
          <w:sz w:val="20"/>
          <w:szCs w:val="20"/>
        </w:rPr>
        <w:t xml:space="preserve"> emploi permanent (catégorie B).</w:t>
      </w:r>
    </w:p>
    <w:p w:rsidR="008E56BA" w:rsidRP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De veiller</w:t>
      </w:r>
      <w:r w:rsidRPr="008E56BA">
        <w:rPr>
          <w:rFonts w:ascii="Lato" w:hAnsi="Lato"/>
          <w:sz w:val="20"/>
          <w:szCs w:val="20"/>
        </w:rPr>
        <w:t xml:space="preserve"> à ce que ces mouvements de crédits ne compromettent pas le financement des dépenses obligatoires et essentielles au fonctionnement de l’Agence.</w:t>
      </w:r>
    </w:p>
    <w:p w:rsidR="008E56BA" w:rsidRP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D’adopter le Budget Primitif 2025</w:t>
      </w:r>
      <w:r w:rsidRPr="008E56BA">
        <w:rPr>
          <w:rFonts w:ascii="Lato" w:hAnsi="Lato"/>
          <w:sz w:val="20"/>
          <w:szCs w:val="20"/>
        </w:rPr>
        <w:t xml:space="preserve"> et ses écritures, telles qu’elles sont présentées chapitre par chapitre dans le document budgétaire joint en annexe 1.</w:t>
      </w:r>
    </w:p>
    <w:p w:rsidR="008E56BA" w:rsidRDefault="008E56BA" w:rsidP="008E56BA">
      <w:pPr>
        <w:pStyle w:val="NormalWeb"/>
        <w:numPr>
          <w:ilvl w:val="0"/>
          <w:numId w:val="14"/>
        </w:numPr>
        <w:jc w:val="both"/>
        <w:rPr>
          <w:rFonts w:ascii="Lato" w:hAnsi="Lato"/>
          <w:sz w:val="20"/>
          <w:szCs w:val="20"/>
        </w:rPr>
      </w:pPr>
      <w:r w:rsidRPr="008E56BA">
        <w:rPr>
          <w:rStyle w:val="lev"/>
          <w:rFonts w:ascii="Lato" w:hAnsi="Lato"/>
          <w:sz w:val="20"/>
          <w:szCs w:val="20"/>
        </w:rPr>
        <w:t>D’accorder la délégation</w:t>
      </w:r>
      <w:r w:rsidRPr="008E56BA">
        <w:rPr>
          <w:rFonts w:ascii="Lato" w:hAnsi="Lato"/>
          <w:sz w:val="20"/>
          <w:szCs w:val="20"/>
        </w:rPr>
        <w:t xml:space="preserve"> permettant, en application de l’instruction M57, de procéder à des mouvements de crédits de chapitre à chapitre (hors dépenses de personnel), au sein de la même section (investissement ou fonctionnement), dans la limite de 7,5 % des dépenses réelles de chacune de ces sections, pour les deux budgets.</w:t>
      </w:r>
    </w:p>
    <w:p w:rsidR="008D0708" w:rsidRDefault="008D0708" w:rsidP="008D0708">
      <w:pPr>
        <w:pStyle w:val="NormalWeb"/>
        <w:jc w:val="both"/>
        <w:rPr>
          <w:rFonts w:ascii="Lato" w:hAnsi="Lato"/>
          <w:sz w:val="20"/>
          <w:szCs w:val="20"/>
        </w:rPr>
      </w:pPr>
    </w:p>
    <w:p w:rsidR="008D0708" w:rsidRDefault="008D0708" w:rsidP="008D0708">
      <w:pPr>
        <w:pStyle w:val="NormalWeb"/>
        <w:jc w:val="both"/>
        <w:rPr>
          <w:rFonts w:ascii="Lato" w:hAnsi="Lato"/>
          <w:sz w:val="20"/>
          <w:szCs w:val="20"/>
        </w:rPr>
      </w:pPr>
    </w:p>
    <w:p w:rsidR="008D0708" w:rsidRPr="008E56BA" w:rsidRDefault="008D0708" w:rsidP="008D0708">
      <w:pPr>
        <w:pStyle w:val="NormalWeb"/>
        <w:jc w:val="both"/>
        <w:rPr>
          <w:rFonts w:ascii="Lato" w:hAnsi="Lato"/>
          <w:sz w:val="20"/>
          <w:szCs w:val="20"/>
        </w:rPr>
      </w:pPr>
    </w:p>
    <w:p w:rsidR="008D0708" w:rsidRDefault="008D0708" w:rsidP="008E56BA">
      <w:pPr>
        <w:pStyle w:val="NormalWeb"/>
        <w:jc w:val="both"/>
        <w:rPr>
          <w:rFonts w:ascii="Lato" w:hAnsi="Lato"/>
          <w:sz w:val="20"/>
          <w:szCs w:val="20"/>
        </w:rPr>
      </w:pPr>
    </w:p>
    <w:p w:rsidR="008E56BA" w:rsidRDefault="008E56BA" w:rsidP="008E56BA">
      <w:pPr>
        <w:pStyle w:val="NormalWeb"/>
        <w:jc w:val="both"/>
        <w:rPr>
          <w:rFonts w:ascii="Lato" w:hAnsi="Lato"/>
          <w:sz w:val="20"/>
          <w:szCs w:val="20"/>
        </w:rPr>
      </w:pPr>
      <w:r w:rsidRPr="008E56BA">
        <w:rPr>
          <w:rFonts w:ascii="Lato" w:hAnsi="Lato"/>
          <w:sz w:val="20"/>
          <w:szCs w:val="20"/>
        </w:rPr>
        <w:t>Le Conseil d’Administration adopte ainsi le Budget Primitif 2025 d’Aveyron Ingénierie, voté par chapitre et par nature, tel qu’annexé à la présente délibération.</w:t>
      </w:r>
    </w:p>
    <w:p w:rsidR="008D0708" w:rsidRPr="002E1A9B" w:rsidRDefault="008D0708" w:rsidP="008D0708">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4774E665" wp14:editId="6AB77E8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4E665"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v:textbox>
              </v:shape>
            </w:pict>
          </mc:Fallback>
        </mc:AlternateContent>
      </w:r>
    </w:p>
    <w:p w:rsidR="008D0708" w:rsidRPr="00D32F7C" w:rsidRDefault="008D0708" w:rsidP="008D0708">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8D0708" w:rsidRPr="001E012C" w:rsidRDefault="008D0708" w:rsidP="008D0708">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sidRPr="001E012C">
        <w:rPr>
          <w:rFonts w:ascii="Lato" w:eastAsia="Calibri" w:hAnsi="Lato" w:cs="Calibri"/>
          <w:sz w:val="20"/>
          <w:szCs w:val="20"/>
          <w:lang w:eastAsia="fr-FR"/>
        </w:rPr>
        <w:t>Télérecours</w:t>
      </w:r>
      <w:proofErr w:type="spellEnd"/>
      <w:r w:rsidRPr="001E012C">
        <w:rPr>
          <w:rFonts w:ascii="Lato" w:eastAsia="Calibri" w:hAnsi="Lato" w:cs="Calibri"/>
          <w:sz w:val="20"/>
          <w:szCs w:val="20"/>
          <w:lang w:eastAsia="fr-FR"/>
        </w:rPr>
        <w:t xml:space="preserve">, accessible par le lien </w:t>
      </w:r>
      <w:hyperlink r:id="rId6">
        <w:r w:rsidRPr="001E012C">
          <w:rPr>
            <w:rFonts w:ascii="Lato" w:eastAsia="Calibri" w:hAnsi="Lato" w:cs="Calibri"/>
            <w:color w:val="0000FF"/>
            <w:sz w:val="20"/>
            <w:szCs w:val="20"/>
            <w:u w:val="single"/>
            <w:lang w:eastAsia="fr-FR"/>
          </w:rPr>
          <w:t>http://www.telerecours.fr</w:t>
        </w:r>
      </w:hyperlink>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D0708" w:rsidRPr="00CD3C1B" w:rsidRDefault="008D0708" w:rsidP="008D0708">
      <w:pPr>
        <w:spacing w:after="0"/>
        <w:jc w:val="both"/>
      </w:pPr>
    </w:p>
    <w:p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rsidR="000768BD" w:rsidRDefault="000768BD"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6D3B2D" w:rsidRDefault="006D3B2D" w:rsidP="008D0708">
      <w:pPr>
        <w:jc w:val="center"/>
        <w:rPr>
          <w:rFonts w:ascii="Lato" w:hAnsi="Lato"/>
          <w:b/>
        </w:rPr>
      </w:pPr>
      <w:r w:rsidRPr="00646A2A">
        <w:rPr>
          <w:rFonts w:ascii="Lato" w:hAnsi="Lato"/>
          <w:b/>
        </w:rPr>
        <w:t>ANNEXE</w:t>
      </w:r>
      <w:r>
        <w:rPr>
          <w:rFonts w:ascii="Lato" w:hAnsi="Lato"/>
          <w:b/>
        </w:rPr>
        <w:t xml:space="preserve"> A LA DELIBERATION</w:t>
      </w:r>
      <w:r w:rsidR="002140D7">
        <w:rPr>
          <w:rFonts w:ascii="Lato" w:hAnsi="Lato"/>
          <w:b/>
        </w:rPr>
        <w:t xml:space="preserve"> </w:t>
      </w:r>
      <w:r w:rsidRPr="00646A2A">
        <w:rPr>
          <w:rFonts w:ascii="Lato" w:hAnsi="Lato"/>
          <w:b/>
        </w:rPr>
        <w:t>:</w:t>
      </w:r>
    </w:p>
    <w:p w:rsidR="0035740B" w:rsidRDefault="0035740B" w:rsidP="00F83944">
      <w:pPr>
        <w:spacing w:after="0" w:line="240" w:lineRule="auto"/>
        <w:jc w:val="center"/>
        <w:rPr>
          <w:rFonts w:ascii="Lato" w:hAnsi="Lato"/>
          <w:b/>
        </w:rPr>
      </w:pPr>
    </w:p>
    <w:p w:rsidR="0035740B" w:rsidRPr="0035740B" w:rsidRDefault="0035740B" w:rsidP="00F83944">
      <w:pPr>
        <w:spacing w:after="0" w:line="240" w:lineRule="auto"/>
        <w:jc w:val="center"/>
        <w:rPr>
          <w:rFonts w:ascii="Lato" w:hAnsi="Lato" w:cs="Tahoma"/>
          <w:color w:val="000000"/>
        </w:rPr>
      </w:pPr>
      <w:r w:rsidRPr="0035740B">
        <w:rPr>
          <w:rFonts w:ascii="Lato" w:hAnsi="Lato" w:cs="Tahoma"/>
          <w:color w:val="000000"/>
        </w:rPr>
        <w:t>Rapport budgétaire unique</w:t>
      </w:r>
    </w:p>
    <w:p w:rsidR="00807939" w:rsidRPr="00807939" w:rsidRDefault="00807939" w:rsidP="00FF0B40">
      <w:pPr>
        <w:pStyle w:val="Courrier"/>
        <w:ind w:left="0" w:right="140"/>
        <w:jc w:val="center"/>
        <w:rPr>
          <w:rFonts w:ascii="Lato" w:hAnsi="Lato"/>
          <w:sz w:val="36"/>
          <w:szCs w:val="36"/>
        </w:rPr>
      </w:pPr>
    </w:p>
    <w:sectPr w:rsidR="00807939" w:rsidRPr="00807939"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0"/>
  </w:num>
  <w:num w:numId="6">
    <w:abstractNumId w:val="5"/>
  </w:num>
  <w:num w:numId="7">
    <w:abstractNumId w:val="10"/>
  </w:num>
  <w:num w:numId="8">
    <w:abstractNumId w:val="1"/>
  </w:num>
  <w:num w:numId="9">
    <w:abstractNumId w:val="3"/>
  </w:num>
  <w:num w:numId="10">
    <w:abstractNumId w:val="7"/>
  </w:num>
  <w:num w:numId="11">
    <w:abstractNumId w:val="4"/>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81766"/>
    <w:rsid w:val="0038340C"/>
    <w:rsid w:val="0038466D"/>
    <w:rsid w:val="003850E3"/>
    <w:rsid w:val="003B7EFD"/>
    <w:rsid w:val="003C3444"/>
    <w:rsid w:val="0040137E"/>
    <w:rsid w:val="00457541"/>
    <w:rsid w:val="00481D3B"/>
    <w:rsid w:val="00485A3C"/>
    <w:rsid w:val="0049685F"/>
    <w:rsid w:val="004F142F"/>
    <w:rsid w:val="004F4D32"/>
    <w:rsid w:val="0051725A"/>
    <w:rsid w:val="0054656C"/>
    <w:rsid w:val="005752A0"/>
    <w:rsid w:val="005A0CAD"/>
    <w:rsid w:val="005F7AC2"/>
    <w:rsid w:val="00661983"/>
    <w:rsid w:val="00666996"/>
    <w:rsid w:val="006B11C1"/>
    <w:rsid w:val="006D188F"/>
    <w:rsid w:val="006D2BD3"/>
    <w:rsid w:val="006D3B2D"/>
    <w:rsid w:val="00720DBC"/>
    <w:rsid w:val="00752A99"/>
    <w:rsid w:val="00793115"/>
    <w:rsid w:val="007A442E"/>
    <w:rsid w:val="007B731C"/>
    <w:rsid w:val="007C3E13"/>
    <w:rsid w:val="007D2D9E"/>
    <w:rsid w:val="007E5057"/>
    <w:rsid w:val="007F250D"/>
    <w:rsid w:val="0080049B"/>
    <w:rsid w:val="00807939"/>
    <w:rsid w:val="00811732"/>
    <w:rsid w:val="008D0708"/>
    <w:rsid w:val="008D4374"/>
    <w:rsid w:val="008E56BA"/>
    <w:rsid w:val="0090235D"/>
    <w:rsid w:val="00924986"/>
    <w:rsid w:val="00953E09"/>
    <w:rsid w:val="00971AA9"/>
    <w:rsid w:val="0098271C"/>
    <w:rsid w:val="009A2915"/>
    <w:rsid w:val="009A5A19"/>
    <w:rsid w:val="009D02FF"/>
    <w:rsid w:val="009F0223"/>
    <w:rsid w:val="00A207C9"/>
    <w:rsid w:val="00A27856"/>
    <w:rsid w:val="00A67685"/>
    <w:rsid w:val="00B10B5F"/>
    <w:rsid w:val="00B13816"/>
    <w:rsid w:val="00B20FC9"/>
    <w:rsid w:val="00B27BE5"/>
    <w:rsid w:val="00B627DA"/>
    <w:rsid w:val="00B9559C"/>
    <w:rsid w:val="00B96CDC"/>
    <w:rsid w:val="00BB38AD"/>
    <w:rsid w:val="00BC560F"/>
    <w:rsid w:val="00BE25EB"/>
    <w:rsid w:val="00C22E81"/>
    <w:rsid w:val="00C24ADC"/>
    <w:rsid w:val="00C47AA7"/>
    <w:rsid w:val="00CC5338"/>
    <w:rsid w:val="00CD0C2B"/>
    <w:rsid w:val="00CD4092"/>
    <w:rsid w:val="00D37A55"/>
    <w:rsid w:val="00D80935"/>
    <w:rsid w:val="00E01E88"/>
    <w:rsid w:val="00E11AD5"/>
    <w:rsid w:val="00E50735"/>
    <w:rsid w:val="00E57392"/>
    <w:rsid w:val="00E65AD4"/>
    <w:rsid w:val="00E66565"/>
    <w:rsid w:val="00E73CF7"/>
    <w:rsid w:val="00E95026"/>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6F89"/>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8667-D55D-460C-BC1F-53F74549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705</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8</cp:revision>
  <cp:lastPrinted>2025-03-26T08:33:00Z</cp:lastPrinted>
  <dcterms:created xsi:type="dcterms:W3CDTF">2025-03-17T13:29:00Z</dcterms:created>
  <dcterms:modified xsi:type="dcterms:W3CDTF">2025-12-18T10:52:00Z</dcterms:modified>
</cp:coreProperties>
</file>